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4FDC8" w14:textId="77777777" w:rsidR="001769C7" w:rsidRPr="00DE5D66" w:rsidRDefault="001769C7" w:rsidP="00DE5D66">
      <w:pPr>
        <w:pStyle w:val="BlockText"/>
        <w:bidi/>
        <w:ind w:left="-2" w:right="0"/>
        <w:jc w:val="center"/>
        <w:rPr>
          <w:rFonts w:cs="B Titr"/>
          <w:b/>
          <w:bCs/>
          <w:sz w:val="36"/>
          <w:szCs w:val="36"/>
          <w:lang w:val="en-GB" w:bidi="fa-IR"/>
        </w:rPr>
      </w:pPr>
      <w:bookmarkStart w:id="0" w:name="_Toc470522590"/>
      <w:r w:rsidRPr="00DE5D66">
        <w:rPr>
          <w:rFonts w:cs="B Titr" w:hint="eastAsia"/>
          <w:b/>
          <w:bCs/>
          <w:sz w:val="36"/>
          <w:szCs w:val="36"/>
          <w:rtl/>
          <w:lang w:val="en-GB" w:bidi="fa-IR"/>
        </w:rPr>
        <w:t>نظر</w:t>
      </w:r>
      <w:r w:rsidRPr="00DE5D66">
        <w:rPr>
          <w:rFonts w:cs="B Titr" w:hint="cs"/>
          <w:b/>
          <w:bCs/>
          <w:sz w:val="36"/>
          <w:szCs w:val="36"/>
          <w:rtl/>
          <w:lang w:val="en-GB" w:bidi="fa-IR"/>
        </w:rPr>
        <w:t>ی</w:t>
      </w:r>
      <w:r w:rsidRPr="00DE5D66">
        <w:rPr>
          <w:rFonts w:cs="B Titr" w:hint="eastAsia"/>
          <w:b/>
          <w:bCs/>
          <w:sz w:val="36"/>
          <w:szCs w:val="36"/>
          <w:rtl/>
          <w:lang w:val="en-GB" w:bidi="fa-IR"/>
        </w:rPr>
        <w:t>ه‌ها</w:t>
      </w:r>
      <w:r w:rsidRPr="00DE5D66">
        <w:rPr>
          <w:rFonts w:cs="B Titr"/>
          <w:b/>
          <w:bCs/>
          <w:sz w:val="36"/>
          <w:szCs w:val="36"/>
          <w:rtl/>
          <w:lang w:val="en-GB" w:bidi="fa-IR"/>
        </w:rPr>
        <w:t xml:space="preserve"> </w:t>
      </w:r>
      <w:r w:rsidRPr="00DE5D66">
        <w:rPr>
          <w:rFonts w:cs="B Titr" w:hint="eastAsia"/>
          <w:b/>
          <w:bCs/>
          <w:sz w:val="36"/>
          <w:szCs w:val="36"/>
          <w:rtl/>
          <w:lang w:val="en-GB" w:bidi="fa-IR"/>
        </w:rPr>
        <w:t>و</w:t>
      </w:r>
      <w:r w:rsidRPr="00DE5D66">
        <w:rPr>
          <w:rFonts w:cs="B Titr"/>
          <w:b/>
          <w:bCs/>
          <w:sz w:val="36"/>
          <w:szCs w:val="36"/>
          <w:rtl/>
          <w:lang w:val="en-GB" w:bidi="fa-IR"/>
        </w:rPr>
        <w:t xml:space="preserve"> </w:t>
      </w:r>
      <w:r w:rsidRPr="00DE5D66">
        <w:rPr>
          <w:rFonts w:cs="B Titr" w:hint="eastAsia"/>
          <w:b/>
          <w:bCs/>
          <w:sz w:val="36"/>
          <w:szCs w:val="36"/>
          <w:rtl/>
          <w:lang w:val="en-GB" w:bidi="fa-IR"/>
        </w:rPr>
        <w:t>اصول</w:t>
      </w:r>
      <w:r w:rsidRPr="00DE5D66">
        <w:rPr>
          <w:rFonts w:cs="B Titr"/>
          <w:b/>
          <w:bCs/>
          <w:sz w:val="36"/>
          <w:szCs w:val="36"/>
          <w:rtl/>
          <w:lang w:val="en-GB" w:bidi="fa-IR"/>
        </w:rPr>
        <w:t xml:space="preserve"> </w:t>
      </w:r>
      <w:r w:rsidRPr="00DE5D66">
        <w:rPr>
          <w:rFonts w:cs="B Titr" w:hint="cs"/>
          <w:b/>
          <w:bCs/>
          <w:sz w:val="36"/>
          <w:szCs w:val="36"/>
          <w:rtl/>
          <w:lang w:val="en-GB" w:bidi="fa-IR"/>
        </w:rPr>
        <w:t>ی</w:t>
      </w:r>
      <w:r w:rsidRPr="00DE5D66">
        <w:rPr>
          <w:rFonts w:cs="B Titr" w:hint="eastAsia"/>
          <w:b/>
          <w:bCs/>
          <w:sz w:val="36"/>
          <w:szCs w:val="36"/>
          <w:rtl/>
          <w:lang w:val="en-GB" w:bidi="fa-IR"/>
        </w:rPr>
        <w:t>ادگ</w:t>
      </w:r>
      <w:r w:rsidRPr="00DE5D66">
        <w:rPr>
          <w:rFonts w:cs="B Titr" w:hint="cs"/>
          <w:b/>
          <w:bCs/>
          <w:sz w:val="36"/>
          <w:szCs w:val="36"/>
          <w:rtl/>
          <w:lang w:val="en-GB" w:bidi="fa-IR"/>
        </w:rPr>
        <w:t>ی</w:t>
      </w:r>
      <w:r w:rsidRPr="00DE5D66">
        <w:rPr>
          <w:rFonts w:cs="B Titr" w:hint="eastAsia"/>
          <w:b/>
          <w:bCs/>
          <w:sz w:val="36"/>
          <w:szCs w:val="36"/>
          <w:rtl/>
          <w:lang w:val="en-GB" w:bidi="fa-IR"/>
        </w:rPr>
        <w:t>ر</w:t>
      </w:r>
      <w:r w:rsidRPr="00DE5D66">
        <w:rPr>
          <w:rFonts w:cs="B Titr" w:hint="cs"/>
          <w:b/>
          <w:bCs/>
          <w:sz w:val="36"/>
          <w:szCs w:val="36"/>
          <w:rtl/>
          <w:lang w:val="en-GB" w:bidi="fa-IR"/>
        </w:rPr>
        <w:t>ی</w:t>
      </w:r>
      <w:r w:rsidRPr="00DE5D66">
        <w:rPr>
          <w:rFonts w:cs="B Titr"/>
          <w:b/>
          <w:bCs/>
          <w:sz w:val="36"/>
          <w:szCs w:val="36"/>
          <w:rtl/>
          <w:lang w:val="en-GB" w:bidi="fa-IR"/>
        </w:rPr>
        <w:t xml:space="preserve"> </w:t>
      </w:r>
      <w:r w:rsidRPr="00DE5D66">
        <w:rPr>
          <w:rFonts w:cs="B Titr" w:hint="eastAsia"/>
          <w:b/>
          <w:bCs/>
          <w:sz w:val="36"/>
          <w:szCs w:val="36"/>
          <w:rtl/>
          <w:lang w:val="en-GB" w:bidi="fa-IR"/>
        </w:rPr>
        <w:t>پشت</w:t>
      </w:r>
      <w:r w:rsidRPr="00DE5D66">
        <w:rPr>
          <w:rFonts w:cs="B Titr" w:hint="cs"/>
          <w:b/>
          <w:bCs/>
          <w:sz w:val="36"/>
          <w:szCs w:val="36"/>
          <w:rtl/>
          <w:lang w:val="en-GB" w:bidi="fa-IR"/>
        </w:rPr>
        <w:t>ی</w:t>
      </w:r>
      <w:r w:rsidRPr="00DE5D66">
        <w:rPr>
          <w:rFonts w:cs="B Titr" w:hint="eastAsia"/>
          <w:b/>
          <w:bCs/>
          <w:sz w:val="36"/>
          <w:szCs w:val="36"/>
          <w:rtl/>
          <w:lang w:val="en-GB" w:bidi="fa-IR"/>
        </w:rPr>
        <w:t>بان</w:t>
      </w:r>
      <w:bookmarkStart w:id="1" w:name="_Toc470522591"/>
      <w:bookmarkEnd w:id="0"/>
      <w:r w:rsidRPr="00DE5D66">
        <w:rPr>
          <w:rFonts w:cs="B Titr" w:hint="cs"/>
          <w:b/>
          <w:bCs/>
          <w:sz w:val="36"/>
          <w:szCs w:val="36"/>
          <w:rtl/>
          <w:lang w:val="en-GB" w:bidi="fa-IR"/>
        </w:rPr>
        <w:t xml:space="preserve"> </w:t>
      </w:r>
      <w:r w:rsidRPr="00DE5D66">
        <w:rPr>
          <w:rFonts w:cs="B Titr" w:hint="eastAsia"/>
          <w:b/>
          <w:bCs/>
          <w:sz w:val="36"/>
          <w:szCs w:val="36"/>
          <w:rtl/>
          <w:lang w:val="en-GB" w:bidi="fa-IR"/>
        </w:rPr>
        <w:t>آموزش</w:t>
      </w:r>
      <w:r w:rsidRPr="00DE5D66">
        <w:rPr>
          <w:rFonts w:cs="B Titr"/>
          <w:b/>
          <w:bCs/>
          <w:sz w:val="36"/>
          <w:szCs w:val="36"/>
          <w:rtl/>
          <w:lang w:val="en-GB" w:bidi="fa-IR"/>
        </w:rPr>
        <w:t xml:space="preserve"> </w:t>
      </w:r>
      <w:r w:rsidRPr="00DE5D66">
        <w:rPr>
          <w:rFonts w:cs="B Titr" w:hint="eastAsia"/>
          <w:b/>
          <w:bCs/>
          <w:sz w:val="36"/>
          <w:szCs w:val="36"/>
          <w:rtl/>
          <w:lang w:val="en-GB" w:bidi="fa-IR"/>
        </w:rPr>
        <w:t>مبتن</w:t>
      </w:r>
      <w:r w:rsidRPr="00DE5D66">
        <w:rPr>
          <w:rFonts w:cs="B Titr" w:hint="cs"/>
          <w:b/>
          <w:bCs/>
          <w:sz w:val="36"/>
          <w:szCs w:val="36"/>
          <w:rtl/>
          <w:lang w:val="en-GB" w:bidi="fa-IR"/>
        </w:rPr>
        <w:t>ی</w:t>
      </w:r>
      <w:r w:rsidRPr="00DE5D66">
        <w:rPr>
          <w:rFonts w:cs="B Titr"/>
          <w:b/>
          <w:bCs/>
          <w:sz w:val="36"/>
          <w:szCs w:val="36"/>
          <w:rtl/>
          <w:lang w:val="en-GB" w:bidi="fa-IR"/>
        </w:rPr>
        <w:t xml:space="preserve"> </w:t>
      </w:r>
      <w:r w:rsidRPr="00DE5D66">
        <w:rPr>
          <w:rFonts w:cs="B Titr" w:hint="eastAsia"/>
          <w:b/>
          <w:bCs/>
          <w:sz w:val="36"/>
          <w:szCs w:val="36"/>
          <w:rtl/>
          <w:lang w:val="en-GB" w:bidi="fa-IR"/>
        </w:rPr>
        <w:t>بر</w:t>
      </w:r>
      <w:r w:rsidRPr="00DE5D66">
        <w:rPr>
          <w:rFonts w:cs="B Titr"/>
          <w:b/>
          <w:bCs/>
          <w:sz w:val="36"/>
          <w:szCs w:val="36"/>
          <w:rtl/>
          <w:lang w:val="en-GB" w:bidi="fa-IR"/>
        </w:rPr>
        <w:t xml:space="preserve"> </w:t>
      </w:r>
      <w:r w:rsidRPr="00DE5D66">
        <w:rPr>
          <w:rFonts w:cs="B Titr" w:hint="eastAsia"/>
          <w:b/>
          <w:bCs/>
          <w:sz w:val="36"/>
          <w:szCs w:val="36"/>
          <w:rtl/>
          <w:lang w:val="en-GB" w:bidi="fa-IR"/>
        </w:rPr>
        <w:t>باز</w:t>
      </w:r>
      <w:r w:rsidRPr="00DE5D66">
        <w:rPr>
          <w:rFonts w:cs="B Titr" w:hint="cs"/>
          <w:b/>
          <w:bCs/>
          <w:sz w:val="36"/>
          <w:szCs w:val="36"/>
          <w:rtl/>
          <w:lang w:val="en-GB" w:bidi="fa-IR"/>
        </w:rPr>
        <w:t>ی‌</w:t>
      </w:r>
      <w:r w:rsidRPr="00DE5D66">
        <w:rPr>
          <w:rFonts w:cs="B Titr" w:hint="eastAsia"/>
          <w:b/>
          <w:bCs/>
          <w:sz w:val="36"/>
          <w:szCs w:val="36"/>
          <w:rtl/>
          <w:lang w:val="en-GB" w:bidi="fa-IR"/>
        </w:rPr>
        <w:t>ها</w:t>
      </w:r>
      <w:r w:rsidRPr="00DE5D66">
        <w:rPr>
          <w:rFonts w:cs="B Titr" w:hint="cs"/>
          <w:b/>
          <w:bCs/>
          <w:sz w:val="36"/>
          <w:szCs w:val="36"/>
          <w:rtl/>
          <w:lang w:val="en-GB" w:bidi="fa-IR"/>
        </w:rPr>
        <w:t>ی</w:t>
      </w:r>
      <w:r w:rsidRPr="00DE5D66">
        <w:rPr>
          <w:rFonts w:cs="B Titr"/>
          <w:b/>
          <w:bCs/>
          <w:sz w:val="36"/>
          <w:szCs w:val="36"/>
          <w:rtl/>
          <w:lang w:val="en-GB" w:bidi="fa-IR"/>
        </w:rPr>
        <w:t xml:space="preserve"> </w:t>
      </w:r>
      <w:r w:rsidRPr="00DE5D66">
        <w:rPr>
          <w:rFonts w:cs="B Titr" w:hint="eastAsia"/>
          <w:b/>
          <w:bCs/>
          <w:sz w:val="36"/>
          <w:szCs w:val="36"/>
          <w:rtl/>
          <w:lang w:val="en-GB" w:bidi="fa-IR"/>
        </w:rPr>
        <w:t>د</w:t>
      </w:r>
      <w:r w:rsidRPr="00DE5D66">
        <w:rPr>
          <w:rFonts w:cs="B Titr" w:hint="cs"/>
          <w:b/>
          <w:bCs/>
          <w:sz w:val="36"/>
          <w:szCs w:val="36"/>
          <w:rtl/>
          <w:lang w:val="en-GB" w:bidi="fa-IR"/>
        </w:rPr>
        <w:t>ی</w:t>
      </w:r>
      <w:r w:rsidRPr="00DE5D66">
        <w:rPr>
          <w:rFonts w:cs="B Titr" w:hint="eastAsia"/>
          <w:b/>
          <w:bCs/>
          <w:sz w:val="36"/>
          <w:szCs w:val="36"/>
          <w:rtl/>
          <w:lang w:val="en-GB" w:bidi="fa-IR"/>
        </w:rPr>
        <w:t>ج</w:t>
      </w:r>
      <w:r w:rsidRPr="00DE5D66">
        <w:rPr>
          <w:rFonts w:cs="B Titr" w:hint="cs"/>
          <w:b/>
          <w:bCs/>
          <w:sz w:val="36"/>
          <w:szCs w:val="36"/>
          <w:rtl/>
          <w:lang w:val="en-GB" w:bidi="fa-IR"/>
        </w:rPr>
        <w:t>ی</w:t>
      </w:r>
      <w:r w:rsidRPr="00DE5D66">
        <w:rPr>
          <w:rFonts w:cs="B Titr" w:hint="eastAsia"/>
          <w:b/>
          <w:bCs/>
          <w:sz w:val="36"/>
          <w:szCs w:val="36"/>
          <w:rtl/>
          <w:lang w:val="en-GB" w:bidi="fa-IR"/>
        </w:rPr>
        <w:t>تال</w:t>
      </w:r>
      <w:bookmarkEnd w:id="1"/>
    </w:p>
    <w:p w14:paraId="183D7D72" w14:textId="77777777" w:rsidR="00DE5D66" w:rsidRDefault="00DE5D66" w:rsidP="00DE5D66">
      <w:pPr>
        <w:pStyle w:val="BlockText"/>
        <w:bidi/>
        <w:ind w:left="-2" w:right="0"/>
        <w:jc w:val="center"/>
        <w:rPr>
          <w:rFonts w:cs="B Zar"/>
          <w:b/>
          <w:bCs/>
          <w:sz w:val="28"/>
          <w:szCs w:val="28"/>
          <w:rtl/>
          <w:lang w:val="en-GB" w:bidi="fa-IR"/>
        </w:rPr>
      </w:pPr>
      <w:r w:rsidRPr="00DE5D66">
        <w:rPr>
          <w:rFonts w:cs="B Zar" w:hint="cs"/>
          <w:b/>
          <w:bCs/>
          <w:sz w:val="28"/>
          <w:szCs w:val="28"/>
          <w:rtl/>
          <w:lang w:val="en-GB" w:bidi="fa-IR"/>
        </w:rPr>
        <w:t>حسین دهقانزاده</w:t>
      </w:r>
    </w:p>
    <w:p w14:paraId="0178E65C" w14:textId="0A023EDB" w:rsidR="001769C7" w:rsidRDefault="00DE5D66" w:rsidP="00DE5D66">
      <w:pPr>
        <w:pStyle w:val="BlockText"/>
        <w:bidi/>
        <w:ind w:left="-2" w:right="0"/>
        <w:jc w:val="center"/>
        <w:rPr>
          <w:rFonts w:cs="B Zar"/>
          <w:b/>
          <w:bCs/>
          <w:sz w:val="28"/>
          <w:szCs w:val="28"/>
          <w:rtl/>
          <w:lang w:val="en-GB" w:bidi="fa-IR"/>
        </w:rPr>
      </w:pPr>
      <w:r w:rsidRPr="00DE5D66">
        <w:rPr>
          <w:rFonts w:cs="B Zar" w:hint="cs"/>
          <w:b/>
          <w:bCs/>
          <w:sz w:val="28"/>
          <w:szCs w:val="28"/>
          <w:rtl/>
          <w:lang w:val="en-GB" w:bidi="fa-IR"/>
        </w:rPr>
        <w:t xml:space="preserve"> </w:t>
      </w:r>
      <w:r w:rsidRPr="00DE5D66">
        <w:rPr>
          <w:rFonts w:cs="B Zar" w:hint="cs"/>
          <w:b/>
          <w:bCs/>
          <w:sz w:val="24"/>
          <w:rtl/>
          <w:lang w:val="en-GB" w:bidi="fa-IR"/>
        </w:rPr>
        <w:t>عضو هیئت علمی دانشگاه تبریز</w:t>
      </w:r>
    </w:p>
    <w:p w14:paraId="14C1EC53" w14:textId="77777777" w:rsidR="00580060" w:rsidRPr="00122FBF" w:rsidRDefault="00580060" w:rsidP="00580060">
      <w:pPr>
        <w:pStyle w:val="BlockText"/>
        <w:bidi/>
        <w:ind w:left="-2" w:right="0"/>
        <w:jc w:val="lowKashida"/>
        <w:rPr>
          <w:rFonts w:cs="B Titr"/>
          <w:sz w:val="24"/>
          <w:rtl/>
        </w:rPr>
      </w:pPr>
      <w:r w:rsidRPr="00122FBF">
        <w:rPr>
          <w:rFonts w:cs="B Titr" w:hint="cs"/>
          <w:sz w:val="24"/>
          <w:rtl/>
        </w:rPr>
        <w:t>چکیده</w:t>
      </w:r>
    </w:p>
    <w:p w14:paraId="6E93F2E2" w14:textId="77777777" w:rsidR="00580060" w:rsidRPr="00122FBF" w:rsidRDefault="00580060" w:rsidP="00580060">
      <w:pPr>
        <w:bidi/>
        <w:ind w:left="-2"/>
        <w:jc w:val="lowKashida"/>
        <w:rPr>
          <w:rFonts w:cs="B Mitra"/>
          <w:sz w:val="22"/>
          <w:szCs w:val="26"/>
          <w:rtl/>
          <w:lang w:bidi="fa-IR"/>
        </w:rPr>
      </w:pPr>
      <w:r w:rsidRPr="00122FBF">
        <w:rPr>
          <w:rFonts w:cs="B Mitra" w:hint="cs"/>
          <w:sz w:val="22"/>
          <w:szCs w:val="26"/>
          <w:rtl/>
          <w:lang w:bidi="fa-IR"/>
        </w:rPr>
        <w:t>یادگیری و آموزش مبتنی بر بازیهای دیجیتال در دو دهه اخیر تحقیقات زیادی را به خود اختصاص داده است که نشانگر اهمیت این موضوع در عصر حاضر می باشد. از طرفی مطالعات نشان می دهند که خود رسانه موجب بهبود یادگیری نمی‌شود بلکه طراحی آموزشی و یا طراحی محیط یادگیری است می‌تواند از قابلیت‌های رسانه‌ها برای بهبود یادگیری استفاده کند. در همین راستا محققان تأکید می‌کنند که  عنصر کلیدی در بازی‌های دیجیتال آموزشی متوجه نوع طراحی آن‌ها می‌باشد؛ اگر در طراحی بازی‌های دیجیتال  عناصر یادگیری و آموزشی به‌کاربرده شوند، می‌تواند زمینه یادگیری را برای یادگیرندگان فراهم کند. در مطالعه حاضر، به بحث و بررسی هر یک از نظریه ها و اصول یادگیری در بازیهای دیجیتال می پردازیم.</w:t>
      </w:r>
    </w:p>
    <w:p w14:paraId="3CD9B3ED" w14:textId="77777777" w:rsidR="00580060" w:rsidRPr="00911D4D" w:rsidRDefault="00580060" w:rsidP="00580060">
      <w:pPr>
        <w:pStyle w:val="BlockText"/>
        <w:bidi/>
        <w:ind w:left="-2" w:right="0"/>
        <w:rPr>
          <w:rFonts w:cs="B Zar"/>
          <w:b/>
          <w:bCs/>
          <w:sz w:val="22"/>
          <w:szCs w:val="18"/>
          <w:lang w:val="en-GB" w:bidi="fa-IR"/>
        </w:rPr>
      </w:pPr>
      <w:r w:rsidRPr="00122FBF">
        <w:rPr>
          <w:rFonts w:cs="B Zar" w:hint="cs"/>
          <w:b/>
          <w:bCs/>
          <w:sz w:val="22"/>
          <w:szCs w:val="18"/>
          <w:rtl/>
          <w:lang w:val="en-GB" w:bidi="fa-IR"/>
        </w:rPr>
        <w:t>کلمات کلیدی: نظریه های یادگیری، اصول یادگیری، یادگیری و آموزش مبتنی بر بازی های دیجیتال</w:t>
      </w:r>
    </w:p>
    <w:p w14:paraId="69D0B46D" w14:textId="35A60487" w:rsidR="00DE5D66" w:rsidRPr="00580060" w:rsidRDefault="00360533" w:rsidP="00847700">
      <w:pPr>
        <w:pStyle w:val="BlockText"/>
        <w:bidi/>
        <w:ind w:left="-2" w:right="0"/>
        <w:rPr>
          <w:rFonts w:cs="B Zar"/>
          <w:b/>
          <w:bCs/>
          <w:sz w:val="28"/>
          <w:szCs w:val="28"/>
          <w:rtl/>
          <w:lang w:val="en-GB" w:bidi="fa-IR"/>
        </w:rPr>
      </w:pPr>
      <w:r>
        <w:rPr>
          <w:rFonts w:cs="B Zar" w:hint="cs"/>
          <w:b/>
          <w:bCs/>
          <w:sz w:val="28"/>
          <w:szCs w:val="28"/>
          <w:rtl/>
          <w:lang w:val="en-GB" w:bidi="fa-IR"/>
        </w:rPr>
        <w:t xml:space="preserve"> </w:t>
      </w:r>
    </w:p>
    <w:p w14:paraId="12698C21" w14:textId="1A198207" w:rsidR="00850C76" w:rsidRDefault="00850C76" w:rsidP="00C42581">
      <w:pPr>
        <w:pStyle w:val="BlockText"/>
        <w:bidi/>
        <w:ind w:left="0" w:right="0"/>
        <w:rPr>
          <w:rFonts w:cs="B Zar"/>
          <w:b/>
          <w:bCs/>
          <w:sz w:val="22"/>
          <w:szCs w:val="18"/>
          <w:rtl/>
          <w:lang w:val="en-GB" w:bidi="fa-IR"/>
        </w:rPr>
      </w:pPr>
    </w:p>
    <w:p w14:paraId="5F9DFD50" w14:textId="1CA43BE7" w:rsidR="00850C76" w:rsidRPr="009330D1" w:rsidRDefault="009330D1" w:rsidP="009330D1">
      <w:pPr>
        <w:pStyle w:val="BodyText"/>
        <w:tabs>
          <w:tab w:val="right" w:pos="555"/>
        </w:tabs>
        <w:bidi/>
        <w:ind w:left="-2"/>
        <w:jc w:val="left"/>
        <w:rPr>
          <w:rFonts w:cs="B Titr"/>
          <w:b/>
          <w:bCs/>
          <w:sz w:val="22"/>
          <w:szCs w:val="24"/>
          <w:rtl/>
        </w:rPr>
      </w:pPr>
      <w:r>
        <w:rPr>
          <w:rFonts w:cs="B Titr" w:hint="cs"/>
          <w:b/>
          <w:bCs/>
          <w:sz w:val="22"/>
          <w:szCs w:val="24"/>
          <w:rtl/>
        </w:rPr>
        <w:t>1-</w:t>
      </w:r>
      <w:r w:rsidR="00850C76" w:rsidRPr="009330D1">
        <w:rPr>
          <w:rFonts w:cs="B Titr" w:hint="cs"/>
          <w:b/>
          <w:bCs/>
          <w:sz w:val="22"/>
          <w:szCs w:val="24"/>
          <w:rtl/>
        </w:rPr>
        <w:t>مقدمه</w:t>
      </w:r>
    </w:p>
    <w:p w14:paraId="49EF22B2" w14:textId="77777777" w:rsidR="009F5735" w:rsidRPr="009330D1" w:rsidRDefault="009F5735" w:rsidP="009330D1">
      <w:pPr>
        <w:bidi/>
        <w:ind w:left="-2"/>
        <w:jc w:val="both"/>
        <w:rPr>
          <w:rFonts w:cs="B Mitra"/>
          <w:sz w:val="22"/>
          <w:szCs w:val="26"/>
          <w:rtl/>
        </w:rPr>
      </w:pPr>
      <w:r w:rsidRPr="009330D1">
        <w:rPr>
          <w:rFonts w:cs="B Mitra" w:hint="cs"/>
          <w:sz w:val="22"/>
          <w:szCs w:val="26"/>
          <w:rtl/>
        </w:rPr>
        <w:t>باوجوداینکه در دهه‌های اخیر شاهد ظهور و پیشرفت فناوری‌های نوین و به دنبال آن تغییر روش زندگی بشر امروزی هستیم ولی سیستم‌های آموزش همان روش آموزشی سنتی خود را حفظ کرده و خود را مطابق با ویژگی‌ها انسان امروزی تغییر نداده‌اند. در همین راستا پرنسکی</w:t>
      </w:r>
      <w:r w:rsidRPr="009330D1">
        <w:rPr>
          <w:rFonts w:cs="B Mitra"/>
          <w:sz w:val="22"/>
          <w:szCs w:val="26"/>
          <w:rtl/>
        </w:rPr>
        <w:footnoteReference w:id="1"/>
      </w:r>
      <w:r w:rsidRPr="009330D1">
        <w:rPr>
          <w:rFonts w:cs="B Mitra" w:hint="cs"/>
          <w:sz w:val="22"/>
          <w:szCs w:val="26"/>
          <w:rtl/>
        </w:rPr>
        <w:t>(2001) بیان می‌کند که بسیاری از پژوهشگران عرصه آموزش و یادگیری  بر این باورند که اگر شخصی از 200 سال قبل به زمان حال بیاید از تغییراتی که از آن زمان تا به‌حال رخ ‌داده است، متحیر می‌شود؛ به‌جز مدارس که در آن‌ها تغییر چندانی صورت نگرفته است. با این وصف، وی بیان می‌کند که سیستم آموزشی ما شکست‌خورده است و مدارس واقعاً برای یادگیرندگان خسته‌کننده شده‌اند. نسبت به تلویزیون و حتی نسبت به کارکردن هم خسته‌کننده‌تر شده است و مقصر خسته‌کنندگی مدارس برای دانش‌آموزان، ما متخصصان آموزش هستیم. چرا آموزش ما برای نسل دیجیتالی امروز (نسل مرا درگیر کن) علاوه بر اینکه درگیر</w:t>
      </w:r>
      <w:r w:rsidRPr="009330D1">
        <w:rPr>
          <w:rFonts w:cs="B Mitra"/>
          <w:sz w:val="22"/>
          <w:szCs w:val="26"/>
          <w:rtl/>
        </w:rPr>
        <w:t xml:space="preserve"> </w:t>
      </w:r>
      <w:r w:rsidRPr="009330D1">
        <w:rPr>
          <w:rFonts w:cs="B Mitra" w:hint="cs"/>
          <w:sz w:val="22"/>
          <w:szCs w:val="26"/>
          <w:rtl/>
        </w:rPr>
        <w:t>کننده نیست بلکه به قول پرنسکی خسته‌کننده هم هست. انسان در زمانی زندگی می‌کند که در آن دنیا متولدشده است و فعالیت‌هایی را انجام می‌دهد که در آن زمان برایش جذاب و لذت‌بخش هستند. نسل امروز ما هم در دنیای دیجیتال متولدشده است. به عبارتی نسل امروزی نسبت به نسل سقراط تغییر کرده است. تعداد این نسل دیجیتال نیز با سرعت زیاد در حال افزایش می‌باشد. تعداد بازی‌کننده نسل دیجیتال امروزی در ایران 23 میلیون نفر می‌باشد. به عبارتی از هر خانوار ایرانی به‌طور متوسط یک نفر بازی دیجیتال انجام می‌دهد. از هر 5 خانوار، 4 خانوار حداقل یک دستگاه برای بازی کردن در اختیار دارند. این بازیکنان به‌طور متوسط روزانه 79 دقیقه بازی می‌کنند (دایرک،1395). علاوه بر افزایش تعداد این نسل دیجیتال، ترجیحات و علاقه‌مندی‌هایشان نیز تغییر کرده است.</w:t>
      </w:r>
    </w:p>
    <w:p w14:paraId="7612F0FC" w14:textId="77777777" w:rsidR="009F5735" w:rsidRPr="009330D1" w:rsidRDefault="009F5735" w:rsidP="009330D1">
      <w:pPr>
        <w:bidi/>
        <w:ind w:left="-2"/>
        <w:jc w:val="both"/>
        <w:rPr>
          <w:rFonts w:cs="B Mitra"/>
          <w:sz w:val="22"/>
          <w:szCs w:val="26"/>
          <w:rtl/>
        </w:rPr>
      </w:pPr>
      <w:r w:rsidRPr="009330D1">
        <w:rPr>
          <w:rFonts w:cs="B Mitra" w:hint="cs"/>
          <w:sz w:val="22"/>
          <w:szCs w:val="26"/>
          <w:rtl/>
        </w:rPr>
        <w:lastRenderedPageBreak/>
        <w:t>بنابراین برای اینکه آموزش ما برای دانش‌آموزان امروزی خسته‌کننده نباشد باید روش‌های آموزشی خود را تغییر دهیم تا بدین‌صورت ترجیحات نسل دیجیتال را مورد توجه قرار دهیم (پروتا و همکاران</w:t>
      </w:r>
      <w:r w:rsidRPr="009330D1">
        <w:rPr>
          <w:rFonts w:cs="B Mitra"/>
          <w:sz w:val="22"/>
          <w:szCs w:val="26"/>
          <w:rtl/>
        </w:rPr>
        <w:footnoteReference w:id="2"/>
      </w:r>
      <w:r w:rsidRPr="009330D1">
        <w:rPr>
          <w:rFonts w:cs="B Mitra" w:hint="cs"/>
          <w:sz w:val="22"/>
          <w:szCs w:val="26"/>
          <w:rtl/>
        </w:rPr>
        <w:t xml:space="preserve">، 2013).  در غیر این صورت </w:t>
      </w:r>
      <w:r w:rsidRPr="009330D1">
        <w:rPr>
          <w:rFonts w:cs="B Mitra"/>
          <w:sz w:val="22"/>
          <w:szCs w:val="26"/>
          <w:rtl/>
        </w:rPr>
        <w:t>آن‌ها</w:t>
      </w:r>
      <w:r w:rsidRPr="009330D1">
        <w:rPr>
          <w:rFonts w:cs="B Mitra" w:hint="cs"/>
          <w:sz w:val="22"/>
          <w:szCs w:val="26"/>
          <w:rtl/>
        </w:rPr>
        <w:t xml:space="preserve"> </w:t>
      </w:r>
      <w:r w:rsidRPr="009330D1">
        <w:rPr>
          <w:rFonts w:cs="B Mitra"/>
          <w:sz w:val="22"/>
          <w:szCs w:val="26"/>
          <w:rtl/>
        </w:rPr>
        <w:t>علاقه‌ا</w:t>
      </w:r>
      <w:r w:rsidRPr="009330D1">
        <w:rPr>
          <w:rFonts w:cs="B Mitra" w:hint="cs"/>
          <w:sz w:val="22"/>
          <w:szCs w:val="26"/>
          <w:rtl/>
        </w:rPr>
        <w:t xml:space="preserve">ی به مدرسه و درس نخواهند داشت. عدم </w:t>
      </w:r>
      <w:r w:rsidRPr="009330D1">
        <w:rPr>
          <w:rFonts w:cs="B Mitra"/>
          <w:sz w:val="22"/>
          <w:szCs w:val="26"/>
          <w:rtl/>
        </w:rPr>
        <w:t>علاقه‌مند</w:t>
      </w:r>
      <w:r w:rsidRPr="009330D1">
        <w:rPr>
          <w:rFonts w:cs="B Mitra" w:hint="cs"/>
          <w:sz w:val="22"/>
          <w:szCs w:val="26"/>
          <w:rtl/>
        </w:rPr>
        <w:t xml:space="preserve">ی و </w:t>
      </w:r>
      <w:r w:rsidRPr="009330D1">
        <w:rPr>
          <w:rFonts w:cs="B Mitra"/>
          <w:sz w:val="22"/>
          <w:szCs w:val="26"/>
          <w:rtl/>
        </w:rPr>
        <w:t>ب</w:t>
      </w:r>
      <w:r w:rsidRPr="009330D1">
        <w:rPr>
          <w:rFonts w:cs="B Mitra" w:hint="cs"/>
          <w:sz w:val="22"/>
          <w:szCs w:val="26"/>
          <w:rtl/>
        </w:rPr>
        <w:t xml:space="preserve">ی‌انگیزگی یادگیرندگان </w:t>
      </w:r>
      <w:r w:rsidRPr="009330D1">
        <w:rPr>
          <w:rFonts w:cs="B Mitra"/>
          <w:sz w:val="22"/>
          <w:szCs w:val="26"/>
          <w:rtl/>
        </w:rPr>
        <w:t>م</w:t>
      </w:r>
      <w:r w:rsidRPr="009330D1">
        <w:rPr>
          <w:rFonts w:cs="B Mitra" w:hint="cs"/>
          <w:sz w:val="22"/>
          <w:szCs w:val="26"/>
          <w:rtl/>
        </w:rPr>
        <w:t xml:space="preserve">ی‌تواند به افت و ترک تحصیلی </w:t>
      </w:r>
      <w:r w:rsidRPr="009330D1">
        <w:rPr>
          <w:rFonts w:cs="B Mitra"/>
          <w:sz w:val="22"/>
          <w:szCs w:val="26"/>
          <w:rtl/>
        </w:rPr>
        <w:t>آن‌ها</w:t>
      </w:r>
      <w:r w:rsidRPr="009330D1">
        <w:rPr>
          <w:rFonts w:cs="B Mitra" w:hint="cs"/>
          <w:sz w:val="22"/>
          <w:szCs w:val="26"/>
          <w:rtl/>
        </w:rPr>
        <w:t xml:space="preserve"> منجر شود.</w:t>
      </w:r>
      <w:r w:rsidRPr="009330D1">
        <w:rPr>
          <w:rFonts w:cs="B Mitra"/>
          <w:sz w:val="22"/>
          <w:szCs w:val="26"/>
          <w:rtl/>
        </w:rPr>
        <w:t xml:space="preserve"> هم‌اکنون افت تحصیلی در مراکز آموزشی به‌صورت کمی و کیفی وجود دارد. صورت کیفی افت تحصیلی به یادگیری ناقص و ضعف علمی اشاره دارد صورت کمی افت تحصیلی به صورت‌ها</w:t>
      </w:r>
      <w:r w:rsidRPr="009330D1">
        <w:rPr>
          <w:rFonts w:cs="B Mitra" w:hint="cs"/>
          <w:sz w:val="22"/>
          <w:szCs w:val="26"/>
          <w:rtl/>
        </w:rPr>
        <w:t>ی</w:t>
      </w:r>
      <w:r w:rsidRPr="009330D1">
        <w:rPr>
          <w:rFonts w:cs="B Mitra"/>
          <w:sz w:val="22"/>
          <w:szCs w:val="26"/>
          <w:rtl/>
        </w:rPr>
        <w:t xml:space="preserve"> اخراج، ترک تحصیلی و انصراف و مشروطی جلوه‌گر م</w:t>
      </w:r>
      <w:r w:rsidRPr="009330D1">
        <w:rPr>
          <w:rFonts w:cs="B Mitra" w:hint="cs"/>
          <w:sz w:val="22"/>
          <w:szCs w:val="26"/>
          <w:rtl/>
        </w:rPr>
        <w:t>ی‌شود</w:t>
      </w:r>
      <w:r w:rsidRPr="009330D1">
        <w:rPr>
          <w:rFonts w:cs="B Mitra"/>
          <w:sz w:val="22"/>
          <w:szCs w:val="26"/>
          <w:rtl/>
        </w:rPr>
        <w:t xml:space="preserve"> که این امر آثار و پیامدهای اجتماعی، اقتصادی و فرهنگی برای فرد و نظام آموزشی و جامعه دارد</w:t>
      </w:r>
      <w:r w:rsidRPr="009330D1">
        <w:rPr>
          <w:rFonts w:cs="B Mitra" w:hint="cs"/>
          <w:sz w:val="22"/>
          <w:szCs w:val="26"/>
          <w:rtl/>
        </w:rPr>
        <w:t xml:space="preserve"> (علی نوروزی و همکاران، 1392).</w:t>
      </w:r>
    </w:p>
    <w:p w14:paraId="4FB3EA15" w14:textId="77777777" w:rsidR="009F5735" w:rsidRPr="009330D1" w:rsidRDefault="009F5735" w:rsidP="009330D1">
      <w:pPr>
        <w:bidi/>
        <w:ind w:left="-2"/>
        <w:jc w:val="both"/>
        <w:rPr>
          <w:rFonts w:cs="B Mitra"/>
          <w:sz w:val="22"/>
          <w:szCs w:val="26"/>
          <w:rtl/>
        </w:rPr>
      </w:pPr>
      <w:r w:rsidRPr="009330D1">
        <w:rPr>
          <w:rFonts w:cs="B Mitra" w:hint="cs"/>
          <w:sz w:val="22"/>
          <w:szCs w:val="26"/>
          <w:rtl/>
        </w:rPr>
        <w:t xml:space="preserve"> پرنسکی (2001) در جواب این سؤال که چه کنیم تا آموزش ما برای دانش‌آموزان ما خسته‌کننده نباشد، بیان می‌کند که باید رویکرد آموزشی خود را به رویکرد یادگیرنده محوری، تغییر دهیم و تأکید می‌کند که «یادگیری مبتنی بر بازی» می‌تواند برای نسل امروزی، رویکرد یادگیرنده محوری خوبی باشد. تحقیقات (فارلان</w:t>
      </w:r>
      <w:r w:rsidRPr="009330D1">
        <w:rPr>
          <w:rFonts w:cs="B Mitra"/>
          <w:sz w:val="22"/>
          <w:szCs w:val="26"/>
          <w:rtl/>
        </w:rPr>
        <w:footnoteReference w:id="3"/>
      </w:r>
      <w:r w:rsidRPr="009330D1">
        <w:rPr>
          <w:rFonts w:cs="B Mitra" w:hint="cs"/>
          <w:sz w:val="22"/>
          <w:szCs w:val="26"/>
          <w:rtl/>
        </w:rPr>
        <w:t xml:space="preserve"> 2005 به نقل از لاکاسا و همکاران، 2014) نیز نشان داده‌اند که بازی‌ها، درگیر کننده تر، لذت‌بخش‌تر و حتی اثربخش‌تر از روش‌های سنتی هستند.</w:t>
      </w:r>
    </w:p>
    <w:p w14:paraId="44280F41" w14:textId="77777777" w:rsidR="009F5735" w:rsidRPr="009330D1" w:rsidRDefault="009F5735" w:rsidP="009330D1">
      <w:pPr>
        <w:bidi/>
        <w:ind w:left="-2"/>
        <w:jc w:val="both"/>
        <w:rPr>
          <w:rFonts w:cs="B Mitra"/>
          <w:sz w:val="22"/>
          <w:szCs w:val="26"/>
          <w:rtl/>
        </w:rPr>
      </w:pPr>
      <w:r w:rsidRPr="009330D1">
        <w:rPr>
          <w:rFonts w:cs="B Mitra" w:hint="cs"/>
          <w:sz w:val="22"/>
          <w:szCs w:val="26"/>
          <w:rtl/>
        </w:rPr>
        <w:t>باوجوداین، برای به‌کارگیری این‌روش یادگیرنده محوری در یادگیری و آموزش با</w:t>
      </w:r>
      <w:r w:rsidRPr="009330D1">
        <w:rPr>
          <w:rFonts w:cs="B Mitra"/>
          <w:sz w:val="22"/>
          <w:szCs w:val="26"/>
          <w:rtl/>
        </w:rPr>
        <w:t xml:space="preserve"> </w:t>
      </w:r>
      <w:r w:rsidRPr="009330D1">
        <w:rPr>
          <w:rFonts w:cs="B Mitra" w:hint="cs"/>
          <w:sz w:val="22"/>
          <w:szCs w:val="26"/>
          <w:rtl/>
        </w:rPr>
        <w:t>کمبود منابع در جهان روبرو هستیم. حتی به نظر می‌رسد منابعی که درزمینه آموزش و یادگیری تألیف شده‌اند نسبت به بازی به‌عنوان منبع، روش یا ابزار آموزش و یادگیری توجه زیادی نکرده‌اند. بوتوری و لوح</w:t>
      </w:r>
      <w:r w:rsidRPr="009330D1">
        <w:rPr>
          <w:rFonts w:cs="B Mitra"/>
          <w:sz w:val="22"/>
          <w:szCs w:val="26"/>
          <w:rtl/>
        </w:rPr>
        <w:footnoteReference w:id="4"/>
      </w:r>
      <w:r w:rsidRPr="009330D1">
        <w:rPr>
          <w:rFonts w:cs="B Mitra" w:hint="cs"/>
          <w:sz w:val="22"/>
          <w:szCs w:val="26"/>
          <w:rtl/>
        </w:rPr>
        <w:t>(2008) بیان می‌کنند با بررسی چندین کتاب معروف درزمینه تکنولوژی آموزشی دریافتیم که تعداد معدودی از آن‌ها بازی را به‌عنوان منبع،روش یا ابزار آموزشی معرفی کرده‌اند. این منابع معدود، بازی را به‌عنوان فعالیت انگیزشی برای پشتیبانی و تکمیل درس‌های کلاسی در نظر گرفته‌اند. بعضی از متخصصین آموزش و یادگیری نیز بازی را صرفاً به‌عنوان فعالیت‌ها و تمرین‌های رقابتی در نظر می‌گیرند که این نوع نگاه، پتانسیل‌های واقعی بازی‌ها را در نظر نمی‌گیرند با بررسی این کتاب‌ها این‌گونه به نظر می‌رسد که نویسندگان بازی را از متن‌های تکنولوژی آموزشی حذف کرده و آن را در مقابل آموزش می‌بینند و خوانندگان این کتاب‌ها نیز مخالف به‌کارگیری بازی در آموزش و یادگیری هستند. در این زمینه (لاکاسا</w:t>
      </w:r>
      <w:r w:rsidRPr="009330D1">
        <w:rPr>
          <w:rFonts w:cs="B Mitra"/>
          <w:sz w:val="22"/>
          <w:szCs w:val="26"/>
          <w:rtl/>
        </w:rPr>
        <w:footnoteReference w:id="5"/>
      </w:r>
      <w:r w:rsidRPr="009330D1">
        <w:rPr>
          <w:rFonts w:cs="B Mitra" w:hint="cs"/>
          <w:sz w:val="22"/>
          <w:szCs w:val="26"/>
          <w:rtl/>
        </w:rPr>
        <w:t xml:space="preserve"> و همکاران، 2014) نیز بیان می‌کند که در عصر حاضر، بازی‌های دیجیتال وارد زندگی روزمره کودکان، نوجوانان و جوانان شده است علیرغم این نفوذ و اهمیت، پتانسیل‌های آموزشی و قابلیت‌های آن‌ها در تقویت تفکر، مورد غفلت قرارگرفته است.</w:t>
      </w:r>
    </w:p>
    <w:p w14:paraId="3A135D68" w14:textId="77777777" w:rsidR="00850C76" w:rsidRPr="009F5735" w:rsidRDefault="00850C76" w:rsidP="00850C76">
      <w:pPr>
        <w:pStyle w:val="BlockText"/>
        <w:bidi/>
        <w:ind w:left="-2" w:right="0"/>
        <w:rPr>
          <w:rFonts w:cs="B Zar"/>
          <w:b/>
          <w:bCs/>
          <w:sz w:val="22"/>
          <w:szCs w:val="18"/>
          <w:lang w:bidi="fa-IR"/>
        </w:rPr>
      </w:pPr>
    </w:p>
    <w:p w14:paraId="6424FFEB" w14:textId="0EB0A0D4" w:rsidR="001769C7" w:rsidRPr="002F5E4C" w:rsidRDefault="002F5E4C" w:rsidP="002F5E4C">
      <w:pPr>
        <w:pStyle w:val="BodyText"/>
        <w:tabs>
          <w:tab w:val="right" w:pos="555"/>
        </w:tabs>
        <w:bidi/>
        <w:ind w:left="-2"/>
        <w:jc w:val="left"/>
        <w:rPr>
          <w:rFonts w:cs="B Titr"/>
          <w:b/>
          <w:bCs/>
          <w:sz w:val="22"/>
          <w:szCs w:val="24"/>
          <w:rtl/>
        </w:rPr>
      </w:pPr>
      <w:bookmarkStart w:id="2" w:name="_Toc470522592"/>
      <w:r w:rsidRPr="002F5E4C">
        <w:rPr>
          <w:rFonts w:cs="B Titr" w:hint="cs"/>
          <w:b/>
          <w:bCs/>
          <w:sz w:val="22"/>
          <w:szCs w:val="24"/>
          <w:rtl/>
        </w:rPr>
        <w:t>2-</w:t>
      </w:r>
      <w:r w:rsidR="001769C7" w:rsidRPr="002F5E4C">
        <w:rPr>
          <w:rFonts w:cs="B Titr" w:hint="cs"/>
          <w:b/>
          <w:bCs/>
          <w:sz w:val="22"/>
          <w:szCs w:val="24"/>
          <w:rtl/>
        </w:rPr>
        <w:t>رفتارگرایی</w:t>
      </w:r>
      <w:r w:rsidR="001769C7" w:rsidRPr="002F5E4C">
        <w:rPr>
          <w:rFonts w:cs="B Titr"/>
          <w:b/>
          <w:bCs/>
          <w:sz w:val="22"/>
          <w:szCs w:val="24"/>
          <w:rtl/>
        </w:rPr>
        <w:t xml:space="preserve"> </w:t>
      </w:r>
      <w:r w:rsidR="001769C7" w:rsidRPr="002F5E4C">
        <w:rPr>
          <w:rFonts w:cs="B Titr" w:hint="cs"/>
          <w:b/>
          <w:bCs/>
          <w:sz w:val="22"/>
          <w:szCs w:val="24"/>
          <w:rtl/>
        </w:rPr>
        <w:t>و</w:t>
      </w:r>
      <w:r w:rsidR="001769C7" w:rsidRPr="002F5E4C">
        <w:rPr>
          <w:rFonts w:cs="B Titr"/>
          <w:b/>
          <w:bCs/>
          <w:sz w:val="22"/>
          <w:szCs w:val="24"/>
          <w:rtl/>
        </w:rPr>
        <w:t xml:space="preserve"> </w:t>
      </w:r>
      <w:r w:rsidR="001769C7" w:rsidRPr="002F5E4C">
        <w:rPr>
          <w:rFonts w:cs="B Titr" w:hint="cs"/>
          <w:b/>
          <w:bCs/>
          <w:sz w:val="22"/>
          <w:szCs w:val="24"/>
          <w:rtl/>
        </w:rPr>
        <w:t>بازی‌های</w:t>
      </w:r>
      <w:r w:rsidR="001769C7" w:rsidRPr="002F5E4C">
        <w:rPr>
          <w:rFonts w:cs="B Titr"/>
          <w:b/>
          <w:bCs/>
          <w:sz w:val="22"/>
          <w:szCs w:val="24"/>
          <w:rtl/>
        </w:rPr>
        <w:t xml:space="preserve"> </w:t>
      </w:r>
      <w:r w:rsidR="001769C7" w:rsidRPr="002F5E4C">
        <w:rPr>
          <w:rFonts w:cs="B Titr" w:hint="cs"/>
          <w:b/>
          <w:bCs/>
          <w:sz w:val="22"/>
          <w:szCs w:val="24"/>
          <w:rtl/>
        </w:rPr>
        <w:t>دیجیتال</w:t>
      </w:r>
      <w:bookmarkEnd w:id="2"/>
    </w:p>
    <w:p w14:paraId="7A7AC674" w14:textId="77777777" w:rsidR="001769C7" w:rsidRPr="002F5E4C" w:rsidRDefault="001769C7" w:rsidP="002F5E4C">
      <w:pPr>
        <w:bidi/>
        <w:ind w:left="-2"/>
        <w:jc w:val="both"/>
        <w:rPr>
          <w:rFonts w:cs="B Mitra"/>
          <w:sz w:val="22"/>
          <w:szCs w:val="26"/>
          <w:rtl/>
        </w:rPr>
      </w:pPr>
      <w:r w:rsidRPr="002F5E4C">
        <w:rPr>
          <w:rFonts w:cs="B Mitra" w:hint="cs"/>
          <w:sz w:val="22"/>
          <w:szCs w:val="26"/>
          <w:rtl/>
        </w:rPr>
        <w:t xml:space="preserve">شرطی‌سازی کنشگر در بازی‌های دیجیتال نقش بسیار اساسی دارد. گفته می‌شود که پاسخ‌های غیرشرطی در بازی‌های دیجیتال وجود ندارند، مگر اینکه آن‌ها یاد گرفته شوند. بنابراین در فرایند این یادگیری کوشش- خطا پیامدهای ناخوشایندی که موجب تضعیف رفتار ادامه بازی می‌شوند باید کم شده و برای افزایش انگیزه بازیکنان تقویت‌کننده‌ها باید پیوسته و به‌طور مناسب ارائه شوند. بازخوردها باید فوراً بعد از انجام فعالیت خاصی ارائه شود، زیرا اگر بین انجام فعالیت و ارائه بازخورد فاصله زمانی زیاد </w:t>
      </w:r>
      <w:r w:rsidRPr="002F5E4C">
        <w:rPr>
          <w:rFonts w:cs="B Mitra" w:hint="cs"/>
          <w:sz w:val="22"/>
          <w:szCs w:val="26"/>
          <w:rtl/>
        </w:rPr>
        <w:lastRenderedPageBreak/>
        <w:t>باشد بازیکنان فعالیت مورد نظر را دیرتر یاد خواهند گرفت، زیرا نمی‌توانند بین رفتار یا فعالیت خود و بازخورد مثبت و منفی رابطه برقرار کنند.</w:t>
      </w:r>
    </w:p>
    <w:p w14:paraId="531C3DD6" w14:textId="77777777" w:rsidR="001769C7" w:rsidRPr="002F5E4C" w:rsidRDefault="001769C7" w:rsidP="002F5E4C">
      <w:pPr>
        <w:bidi/>
        <w:ind w:left="-2"/>
        <w:jc w:val="both"/>
        <w:rPr>
          <w:rFonts w:cs="B Mitra"/>
          <w:sz w:val="22"/>
          <w:szCs w:val="26"/>
          <w:rtl/>
        </w:rPr>
      </w:pPr>
      <w:r w:rsidRPr="002F5E4C">
        <w:rPr>
          <w:rFonts w:cs="B Mitra" w:hint="cs"/>
          <w:sz w:val="22"/>
          <w:szCs w:val="26"/>
          <w:rtl/>
        </w:rPr>
        <w:t>دو نوع تقویت‌کننده وجود دارد: تقویت‌های مثبت پیامدهایی است که برای نیرومند شدن رفتار ارائه می‌شوند و تقویت‌های منفی پیامدهایی ناخوشایندی است که برای نیرومند شدن رفتار این پیامدهای ناخوشایند کم شده یا حذف می‌شوند. ارائه اسلحه قوی در مثال بالا تقویت مثبت محسوب می‌شود. در بسیاری از بازی‌های ایفای نقش زمانیکه بازیکن مسموم می‌شود و سلامتی وی به‌طور تدریجی کاهش می‌یابد، برای دوری از این شرایط ناخوشایند رفتار خرید داروی ضد سم نیرومندتر می‌شود. ذکر این نکته هم لازم است تقویت‌ها باید متناسب عملکرد بازیکنان باشد اگر بازیکنی که کار مهمی انجام داده و انتظار پاداش‌های بزرگی دارد، ارائه پاداش کوچک انگیزه کمی به وی خواهد داد (سیانگ</w:t>
      </w:r>
      <w:r w:rsidRPr="002F5E4C">
        <w:rPr>
          <w:rFonts w:cs="B Mitra"/>
          <w:sz w:val="22"/>
          <w:szCs w:val="26"/>
          <w:rtl/>
        </w:rPr>
        <w:footnoteReference w:id="6"/>
      </w:r>
      <w:r w:rsidRPr="002F5E4C">
        <w:rPr>
          <w:rFonts w:cs="B Mitra" w:hint="cs"/>
          <w:sz w:val="22"/>
          <w:szCs w:val="26"/>
          <w:rtl/>
        </w:rPr>
        <w:t xml:space="preserve"> و همکاران، 2003).</w:t>
      </w:r>
    </w:p>
    <w:p w14:paraId="7D7D1195" w14:textId="77777777" w:rsidR="001769C7" w:rsidRPr="002F5E4C" w:rsidRDefault="001769C7" w:rsidP="002F5E4C">
      <w:pPr>
        <w:bidi/>
        <w:ind w:left="-2"/>
        <w:jc w:val="both"/>
        <w:rPr>
          <w:rFonts w:cs="B Mitra"/>
          <w:sz w:val="22"/>
          <w:szCs w:val="26"/>
          <w:rtl/>
        </w:rPr>
      </w:pPr>
      <w:r w:rsidRPr="002F5E4C">
        <w:rPr>
          <w:rFonts w:cs="B Mitra" w:hint="cs"/>
          <w:sz w:val="22"/>
          <w:szCs w:val="26"/>
          <w:rtl/>
        </w:rPr>
        <w:t>یادگیری موضوعی با یک‌بار تقویت کم اتفاق می‌افتد، بنابراین در بازی‌های دیجیتال نیز نباید فعالیت درست را فقط یک‌بار تقویت کرده و رها کنیم. استفاده از گام‌های کوچکی که با بازخورد همراه باشد به یادگیرندگان در رسیدن به هدف کمک می‌کند که این روش به شکل‌دهی رفتار معروف است. در بازی‌های دیجیتال زمانیکه بازیکن رئیس دشمنان را می‌زند، اینکه فقط یک‌بار بازیکن را تقویت کنیم کافی نمی‌باشد. بنابراین در بسیاری از بازی‌های دیجیتال در کناره‌های بالا، پایین، راست یا چپ گزینه‌ای به نام سلامتی دشمن برای نشان دادن میزان سلامتی باقیمانده دشمن، قرار داده می‌شود. گام‌های کوچک-نشان دادن میزان سلامتی هیولا- به بازیکنان در رسیدن به هدف کمک می‌کنند. اگر میزان سلامتی نشان داده نشود، یادگیری اینکه چند گلوله یا چه نوع گلوله‌هایی برای کشتن هیولا شلیک کند سخت خواهد بود (سیانگ</w:t>
      </w:r>
      <w:r w:rsidRPr="002F5E4C">
        <w:rPr>
          <w:rFonts w:cs="B Mitra"/>
          <w:sz w:val="22"/>
          <w:szCs w:val="26"/>
          <w:rtl/>
        </w:rPr>
        <w:footnoteReference w:id="7"/>
      </w:r>
      <w:r w:rsidRPr="002F5E4C">
        <w:rPr>
          <w:rFonts w:cs="B Mitra" w:hint="cs"/>
          <w:sz w:val="22"/>
          <w:szCs w:val="26"/>
          <w:rtl/>
        </w:rPr>
        <w:t xml:space="preserve"> و همکاران، 2003)</w:t>
      </w:r>
    </w:p>
    <w:p w14:paraId="42186EF9" w14:textId="77777777" w:rsidR="001769C7" w:rsidRPr="002F5E4C" w:rsidRDefault="001769C7" w:rsidP="002F5E4C">
      <w:pPr>
        <w:bidi/>
        <w:ind w:left="-2"/>
        <w:jc w:val="both"/>
        <w:rPr>
          <w:rFonts w:cs="B Mitra"/>
          <w:sz w:val="22"/>
          <w:szCs w:val="26"/>
          <w:rtl/>
        </w:rPr>
      </w:pPr>
      <w:r w:rsidRPr="002F5E4C">
        <w:rPr>
          <w:rFonts w:cs="B Mitra" w:hint="cs"/>
          <w:sz w:val="22"/>
          <w:szCs w:val="26"/>
          <w:rtl/>
        </w:rPr>
        <w:t>در یادگیری رفتارگرایی چهار نوع برنامه تقویتی برای یادگیری رفتار وجود دارد که عبارت‌اند از: نسبتی ثابت، فاصله‌ای ثابت، نسبتی متغییر و فاصله‌ای متغیر. بعد از اینکه تعداد ثابت یا معینی از رفتار تکرار شد، تقویت ارائه می‌شود. در بازی‌های دیجیتال به‌ویژه زمانیکه از سبک ایفای نقش باشد بعد از به دست آوردن تعداد معینی از تجارب و امتیازها، از طریق کشتن دشمنان، بازی بازیکن را به مرحله بالاتر هدایت می‌کند. بلافاصله بعد از اینکه وارد مرحله بالاتر شد، رفتار کشتن دشمن کاهش می‌یابد، زیرا بازیکن می‌داند که برای رفتن به مرحله بعد، تجارب و</w:t>
      </w:r>
      <w:r w:rsidRPr="002F5E4C">
        <w:rPr>
          <w:rFonts w:cs="B Mitra"/>
          <w:sz w:val="22"/>
          <w:szCs w:val="26"/>
          <w:rtl/>
        </w:rPr>
        <w:t xml:space="preserve"> </w:t>
      </w:r>
      <w:r w:rsidRPr="002F5E4C">
        <w:rPr>
          <w:rFonts w:cs="B Mitra" w:hint="cs"/>
          <w:sz w:val="22"/>
          <w:szCs w:val="26"/>
          <w:rtl/>
        </w:rPr>
        <w:t>امتیازهای زیادی لازم است. همچنین زمانیکه برای رفتن به مرحله بعد نزدیک شود رفتار کشتن دشمنان افزایش می‌یابد و زمانیکه تقویت حذف شود- کشتن دشمنان امتیاز برای بازیکن نداشته باشد - رفتار کشتن دشمنان سریع خاموش خواهد شد (هاپسن</w:t>
      </w:r>
      <w:r w:rsidRPr="002F5E4C">
        <w:rPr>
          <w:rFonts w:cs="B Mitra"/>
          <w:sz w:val="22"/>
          <w:szCs w:val="26"/>
          <w:rtl/>
        </w:rPr>
        <w:footnoteReference w:id="8"/>
      </w:r>
      <w:r w:rsidRPr="002F5E4C">
        <w:rPr>
          <w:rFonts w:cs="B Mitra" w:hint="cs"/>
          <w:sz w:val="22"/>
          <w:szCs w:val="26"/>
          <w:rtl/>
        </w:rPr>
        <w:t>، 2001). بنابراین زمانیکه از برنامه تقویتی نسبتی ثابت استفاده می‌شود، ضروری است که به‌طور تدریجی با افزایش تعداد رفتار، تقویت ارائه شود. برای مثال اگر اکنون برای رفتن به مرحله بعدی بازیکن باید 100 امتیاز به دست آورد، در مرحله‌ای که بالا رفته باید 500 امتیاز جمع کند تا بتواند به مرحله بالاترش راه یابد. در این صورت بازیکن بیشتر قادر خواهد بود تا بدون تقویت کار کند و رفتار مورد نظر در مقابل خاموشی مقاوم‌تر خواهد بود.</w:t>
      </w:r>
    </w:p>
    <w:p w14:paraId="3E662B63" w14:textId="77777777" w:rsidR="001769C7" w:rsidRPr="002F5E4C" w:rsidRDefault="001769C7" w:rsidP="002F5E4C">
      <w:pPr>
        <w:bidi/>
        <w:ind w:left="-2"/>
        <w:jc w:val="both"/>
        <w:rPr>
          <w:rFonts w:cs="B Mitra"/>
          <w:sz w:val="22"/>
          <w:szCs w:val="26"/>
          <w:rtl/>
        </w:rPr>
      </w:pPr>
      <w:r w:rsidRPr="002F5E4C">
        <w:rPr>
          <w:rFonts w:cs="B Mitra" w:hint="cs"/>
          <w:sz w:val="22"/>
          <w:szCs w:val="26"/>
          <w:rtl/>
        </w:rPr>
        <w:t>در برنامه تقویتی نسبتی متغییر، یادگیرنده تقویت را با انجام تعداد مشخص رفتار دریافت نمی‌کند بلکه به‌صورت متغیر ارائه می‌شود. در بعضی موارد، کشتن دشمن برای بازیکنان پاداش‌های معینی - دریافت اسلحه قوی‌تر، سکه یا دارو- دارد ولی بازیکنان اصلاً نمی‌دانند که چه تعداد دشمن باید بکشند تا پاداش‌ها را دریافت کنند. این برنامه رفتار را پایدار کرده و نهادینه می‌کند. بعد از حذف تقویت احتمالاً بازیکنان به کشتن دشمن ادامه می‌دهند.</w:t>
      </w:r>
    </w:p>
    <w:p w14:paraId="709B4223" w14:textId="77777777" w:rsidR="001769C7" w:rsidRPr="002F5E4C" w:rsidRDefault="001769C7" w:rsidP="002F5E4C">
      <w:pPr>
        <w:bidi/>
        <w:ind w:left="-2"/>
        <w:jc w:val="both"/>
        <w:rPr>
          <w:rFonts w:cs="B Mitra"/>
          <w:sz w:val="22"/>
          <w:szCs w:val="26"/>
          <w:rtl/>
        </w:rPr>
      </w:pPr>
      <w:r w:rsidRPr="002F5E4C">
        <w:rPr>
          <w:rFonts w:cs="B Mitra" w:hint="cs"/>
          <w:sz w:val="22"/>
          <w:szCs w:val="26"/>
          <w:rtl/>
        </w:rPr>
        <w:lastRenderedPageBreak/>
        <w:t>در برنامه تقویتی فاصله‌ای ثابت، باید مدت‌زمان معینی طی شود تا تقویت ارائه گردد. در بازی‌های دیجیتال احتمالاً بازیکن تا زمان دریافت تقویت فعالیت چندانی نکند. در این برنامه تقویتی برای تشویق بازیکنان به ادامه بازی بهتر است از فاصله‌های زمانی کوتاهی برای تقویت استفاده شود.</w:t>
      </w:r>
    </w:p>
    <w:p w14:paraId="0F453C5E" w14:textId="77777777" w:rsidR="001769C7" w:rsidRPr="002F5E4C" w:rsidRDefault="001769C7" w:rsidP="002F5E4C">
      <w:pPr>
        <w:bidi/>
        <w:ind w:left="-2"/>
        <w:jc w:val="both"/>
        <w:rPr>
          <w:rFonts w:cs="B Mitra"/>
          <w:sz w:val="22"/>
          <w:szCs w:val="26"/>
          <w:rtl/>
        </w:rPr>
      </w:pPr>
      <w:r w:rsidRPr="002F5E4C">
        <w:rPr>
          <w:rFonts w:cs="B Mitra" w:hint="cs"/>
          <w:sz w:val="22"/>
          <w:szCs w:val="26"/>
          <w:rtl/>
        </w:rPr>
        <w:t>در برنامه تقویتی فاصله متغییر فاصله زمانی دریافت تقویت مشخص نبوده و در فاصله‌های زمانی متفاوتی تقویت ارائه می‌شود. به عبارتی به‌صورت تصادفی تقویت ارائه می‌گردد. مؤلف بیان می‌کند تصادفی بودن نقش مهمی در بازی‌های دیجیتال ایفا می‌کند و در نگه‌داشتن بازی در بازیکن بسیار اثربخش است. برای مثال دربعضی از بازی‌های ایفای نقش، بازیکن نمی‌داند که هیولا چه زمانی حمله می‌کند و چه زمانی به دام می‌افتد؛ بنابراین باید همیشه آماده بوده و برای به دام انداختنش تلاش کند. این برنامه تقویتی رفتار قوی‌تری را نسبت به برنامه زمانی ثابت شکل می‌دهد (چی سیانگ و همکاران، 2003).</w:t>
      </w:r>
    </w:p>
    <w:p w14:paraId="6E299B2B" w14:textId="77777777" w:rsidR="001769C7" w:rsidRPr="00D8744D" w:rsidRDefault="001769C7" w:rsidP="002F5E4C">
      <w:pPr>
        <w:bidi/>
        <w:ind w:left="-2"/>
        <w:jc w:val="both"/>
        <w:rPr>
          <w:rFonts w:cs="B Lotus"/>
          <w:sz w:val="28"/>
          <w:szCs w:val="28"/>
          <w:rtl/>
          <w:lang w:bidi="fa-IR"/>
        </w:rPr>
      </w:pPr>
      <w:r w:rsidRPr="002F5E4C">
        <w:rPr>
          <w:rFonts w:cs="B Mitra" w:hint="cs"/>
          <w:sz w:val="22"/>
          <w:szCs w:val="26"/>
          <w:rtl/>
        </w:rPr>
        <w:t>در بعضی موارد بازیکنان، نیاز دارد زمان دریافت تقویت یا تنبیه به آن‌ها گفته شود. این مورد را با اشاره‌هایی می‌توان به آن‌ها فهماند. وقتی‌که رئیس دشمنان ظاهر شد موسیقی پس‌زمینه تغییر پیدا می‌کند.در این مورد تغییر موسیقی پس‌زمینه به نشانه‌ای است که به بازیکن بیان می‌کند که به میدان نبرد سختی باید برود (هوپسون، 2001).</w:t>
      </w:r>
    </w:p>
    <w:p w14:paraId="4D32A33A" w14:textId="4EB8EFDB" w:rsidR="001769C7" w:rsidRPr="00EB1356" w:rsidRDefault="002F5E4C" w:rsidP="001769C7">
      <w:pPr>
        <w:pStyle w:val="Heading2"/>
        <w:bidi/>
        <w:jc w:val="both"/>
        <w:rPr>
          <w:rFonts w:ascii="TimesNewRoman" w:eastAsia="TimesNewRoman" w:cs="B Titr"/>
          <w:sz w:val="24"/>
          <w:rtl/>
          <w:lang w:bidi="fa-IR"/>
        </w:rPr>
      </w:pPr>
      <w:bookmarkStart w:id="3" w:name="_Toc470522593"/>
      <w:r>
        <w:rPr>
          <w:rFonts w:ascii="TimesNewRoman" w:eastAsia="TimesNewRoman" w:cs="B Titr" w:hint="cs"/>
          <w:sz w:val="24"/>
          <w:rtl/>
          <w:lang w:bidi="fa-IR"/>
        </w:rPr>
        <w:t>3-</w:t>
      </w:r>
      <w:r w:rsidR="001769C7" w:rsidRPr="00EB1356">
        <w:rPr>
          <w:rFonts w:ascii="TimesNewRoman" w:eastAsia="TimesNewRoman" w:cs="B Titr" w:hint="cs"/>
          <w:sz w:val="24"/>
          <w:rtl/>
          <w:lang w:bidi="fa-IR"/>
        </w:rPr>
        <w:t>شناخت</w:t>
      </w:r>
      <w:r w:rsidR="001769C7" w:rsidRPr="00EB1356">
        <w:rPr>
          <w:rFonts w:ascii="TimesNewRoman" w:eastAsia="TimesNewRoman" w:cs="B Titr"/>
          <w:sz w:val="24"/>
          <w:rtl/>
          <w:lang w:bidi="fa-IR"/>
        </w:rPr>
        <w:t xml:space="preserve"> </w:t>
      </w:r>
      <w:r w:rsidR="001769C7" w:rsidRPr="00EB1356">
        <w:rPr>
          <w:rFonts w:ascii="TimesNewRoman" w:eastAsia="TimesNewRoman" w:cs="B Titr" w:hint="cs"/>
          <w:sz w:val="24"/>
          <w:rtl/>
          <w:lang w:bidi="fa-IR"/>
        </w:rPr>
        <w:t>گرایی</w:t>
      </w:r>
      <w:r w:rsidR="001769C7" w:rsidRPr="00EB1356">
        <w:rPr>
          <w:rFonts w:ascii="TimesNewRoman" w:eastAsia="TimesNewRoman" w:cs="B Titr"/>
          <w:sz w:val="24"/>
          <w:rtl/>
          <w:lang w:bidi="fa-IR"/>
        </w:rPr>
        <w:t xml:space="preserve"> </w:t>
      </w:r>
      <w:r w:rsidR="001769C7" w:rsidRPr="00EB1356">
        <w:rPr>
          <w:rFonts w:ascii="TimesNewRoman" w:eastAsia="TimesNewRoman" w:cs="B Titr" w:hint="cs"/>
          <w:sz w:val="24"/>
          <w:rtl/>
          <w:lang w:bidi="fa-IR"/>
        </w:rPr>
        <w:t>و</w:t>
      </w:r>
      <w:r w:rsidR="001769C7" w:rsidRPr="00EB1356">
        <w:rPr>
          <w:rFonts w:ascii="TimesNewRoman" w:eastAsia="TimesNewRoman" w:cs="B Titr"/>
          <w:sz w:val="24"/>
          <w:rtl/>
          <w:lang w:bidi="fa-IR"/>
        </w:rPr>
        <w:t xml:space="preserve"> </w:t>
      </w:r>
      <w:r w:rsidR="001769C7">
        <w:rPr>
          <w:rFonts w:ascii="TimesNewRoman" w:eastAsia="TimesNewRoman" w:cs="B Titr" w:hint="cs"/>
          <w:sz w:val="24"/>
          <w:rtl/>
          <w:lang w:bidi="fa-IR"/>
        </w:rPr>
        <w:t>بازی‌های</w:t>
      </w:r>
      <w:r w:rsidR="001769C7" w:rsidRPr="00EB1356">
        <w:rPr>
          <w:rFonts w:ascii="TimesNewRoman" w:eastAsia="TimesNewRoman" w:cs="B Titr"/>
          <w:sz w:val="24"/>
          <w:rtl/>
          <w:lang w:bidi="fa-IR"/>
        </w:rPr>
        <w:t xml:space="preserve"> </w:t>
      </w:r>
      <w:bookmarkEnd w:id="3"/>
      <w:r w:rsidR="001769C7">
        <w:rPr>
          <w:rFonts w:ascii="TimesNewRoman" w:eastAsia="TimesNewRoman" w:cs="B Titr" w:hint="cs"/>
          <w:sz w:val="24"/>
          <w:rtl/>
          <w:lang w:bidi="fa-IR"/>
        </w:rPr>
        <w:t>دیجیتال</w:t>
      </w:r>
    </w:p>
    <w:p w14:paraId="2AACC369" w14:textId="77777777" w:rsidR="001769C7" w:rsidRPr="002F5E4C" w:rsidRDefault="001769C7" w:rsidP="002F5E4C">
      <w:pPr>
        <w:bidi/>
        <w:ind w:left="-2"/>
        <w:jc w:val="both"/>
        <w:rPr>
          <w:rFonts w:cs="B Mitra"/>
          <w:sz w:val="22"/>
          <w:szCs w:val="26"/>
          <w:rtl/>
        </w:rPr>
      </w:pPr>
      <w:r w:rsidRPr="002F5E4C">
        <w:rPr>
          <w:rFonts w:cs="B Mitra" w:hint="cs"/>
          <w:sz w:val="22"/>
          <w:szCs w:val="26"/>
          <w:rtl/>
        </w:rPr>
        <w:t>شناخت گرایان بر نحوه دریافت، پردازش، ذخیره‌سازی و یادآوری ذهنی اطلاعات تأکید دارند. مؤلف مقاله بیان می‌کند وقتی‌که بازیکنان در بازی‌های دیجیتال، قواعد اساسی بازی را بر اساس دریافت محرک‌ها (رفتارگرایی) فهمیدند بازیکنان به‌صورت شناختی فکر می‌کنند که در یک موقعیت جدید چگونه پاسخ دهند و فعالانه دانش موجود خود را با موقعیت جدیدی که در بازی با آن‌ها مواجه می‌شود به‌روز میکند. به عبارتی بعد از فهمیدن قواعد بازی، بازیکنان فکر می‌کنند که چگونه با محیط بازی تعامل کرده و بازی را انجام دهند (سیانگ</w:t>
      </w:r>
      <w:r w:rsidRPr="002F5E4C">
        <w:rPr>
          <w:rFonts w:cs="B Mitra"/>
          <w:sz w:val="22"/>
          <w:szCs w:val="26"/>
          <w:rtl/>
        </w:rPr>
        <w:footnoteReference w:id="9"/>
      </w:r>
      <w:r w:rsidRPr="002F5E4C">
        <w:rPr>
          <w:rFonts w:cs="B Mitra" w:hint="cs"/>
          <w:sz w:val="22"/>
          <w:szCs w:val="26"/>
          <w:rtl/>
        </w:rPr>
        <w:t xml:space="preserve"> و همکاران، 2003).</w:t>
      </w:r>
    </w:p>
    <w:p w14:paraId="40D156BB" w14:textId="77777777" w:rsidR="001769C7" w:rsidRPr="002F5E4C" w:rsidRDefault="001769C7" w:rsidP="002F5E4C">
      <w:pPr>
        <w:bidi/>
        <w:ind w:left="-2"/>
        <w:jc w:val="both"/>
        <w:rPr>
          <w:rFonts w:cs="B Mitra"/>
          <w:sz w:val="22"/>
          <w:szCs w:val="26"/>
          <w:rtl/>
        </w:rPr>
      </w:pPr>
      <w:r w:rsidRPr="002F5E4C">
        <w:rPr>
          <w:rFonts w:cs="B Mitra" w:hint="cs"/>
          <w:sz w:val="22"/>
          <w:szCs w:val="26"/>
          <w:rtl/>
        </w:rPr>
        <w:t xml:space="preserve"> یکی از نظریه‌های مهم شناخت گرایی نظریه پردازش سه مرحله‌ای است که توسط اتکینسون و شیفرین ارائه شده است. مطابق با این نظریه، انسان دارای سه حافظه حسی،کوتاه‌مدت و بلندمدت می‌باشد. حافظه حسی اطلاعات را دریافت کرده و به مدت بسیار کوتاه نگه می‌دارد. حافظه کوتاه‌مدت اطلاعات محدودی را برای چند ثانیه ذخیره کند و حافظه بلندمدت که اطلاعات نامحدودی را برای همیشه نگه می‌دارد.</w:t>
      </w:r>
    </w:p>
    <w:p w14:paraId="39F917A1" w14:textId="77777777" w:rsidR="001769C7" w:rsidRPr="002F5E4C" w:rsidRDefault="001769C7" w:rsidP="002F5E4C">
      <w:pPr>
        <w:bidi/>
        <w:ind w:left="-2"/>
        <w:jc w:val="both"/>
        <w:rPr>
          <w:rFonts w:cs="B Mitra"/>
          <w:sz w:val="22"/>
          <w:szCs w:val="26"/>
          <w:rtl/>
        </w:rPr>
      </w:pPr>
      <w:r w:rsidRPr="002F5E4C">
        <w:rPr>
          <w:rFonts w:cs="B Mitra" w:hint="cs"/>
          <w:sz w:val="22"/>
          <w:szCs w:val="26"/>
          <w:rtl/>
        </w:rPr>
        <w:t>حافظه حسی اطلاعات زیادی را از قبیل موسیقی پس‌زمینه، افکت‌های صوتی، افکت‌های تصویری، دشمنان و غیره از محیط بازی دیجیتال دریافت کرده و برای مدت کوتاهی (کمتر از یک ثانیه) نگه می‌دارد. اگر بازیکنان به این اطلاعات توجه نکنند، این اطلاعات به‌سرعت از حافظه حسی پاک می‌شوند و برای پردازش بیشتر به حافظه کوتاه‌مدت وارد نخواهند شد. توجه (فرایند تمرکز بر روی محرک معین) نقش بسیار مهمی را ایفا می‌کند. بنابراین بازیکنان باید برای نگه‌داشتن اطلاعات برای اطلاعات توجه کند. در بازی‌های دیجیتال آیتم‌هایی که برای رسیدن به هدف بازی مهم هستند به‌گونه‌ای طراحی می‌شوند که توجه بازیکن را جلب کنند. این آیتم‌ها یا درحال چرخش هستند و یا به‌گونه‌ای می‌درخشند. در مواردی نیز بعضی از متن‌ها با رنگ‌های متفاوتی برجسته می‌شوند و نشان می‌دهند که این متن در این بازی مهم می‌باشد و بدین روش توجه بازیکنان را جلب می‌کنند. در بعضی بازی‌ها توجه را از</w:t>
      </w:r>
      <w:r w:rsidRPr="002F5E4C">
        <w:rPr>
          <w:rFonts w:cs="B Mitra"/>
          <w:sz w:val="22"/>
          <w:szCs w:val="26"/>
          <w:rtl/>
        </w:rPr>
        <w:t xml:space="preserve"> </w:t>
      </w:r>
      <w:r w:rsidRPr="002F5E4C">
        <w:rPr>
          <w:rFonts w:cs="B Mitra" w:hint="cs"/>
          <w:sz w:val="22"/>
          <w:szCs w:val="26"/>
          <w:rtl/>
        </w:rPr>
        <w:t xml:space="preserve">طریق ناهمسان کردن از بقیه موارد جلب می‌کنند. برای مثال اگر اعصای سحرآمیز در کلبه روستایی قرار داده شود این عصا جلب توجه خواهد کرد (سیانگ و همکاران، 2003). </w:t>
      </w:r>
    </w:p>
    <w:p w14:paraId="240C5135" w14:textId="77777777" w:rsidR="001769C7" w:rsidRPr="002F5E4C" w:rsidRDefault="001769C7" w:rsidP="002F5E4C">
      <w:pPr>
        <w:bidi/>
        <w:ind w:left="-2"/>
        <w:jc w:val="both"/>
        <w:rPr>
          <w:rFonts w:cs="B Mitra"/>
          <w:sz w:val="22"/>
          <w:szCs w:val="26"/>
          <w:rtl/>
        </w:rPr>
      </w:pPr>
      <w:r w:rsidRPr="002F5E4C">
        <w:rPr>
          <w:rFonts w:cs="B Mitra" w:hint="cs"/>
          <w:sz w:val="22"/>
          <w:szCs w:val="26"/>
          <w:rtl/>
        </w:rPr>
        <w:lastRenderedPageBreak/>
        <w:t>حافظه کوتاه‌مدت جایی است که اطلاعات وارد شده از حافظه حسی و بلندمدت در آن پردازش می‌شوند. گنجایش این حافظه پنج تا نه قطعه اطلاعات می‌باشد. بنابراین در یک زمان نباید اطلاعات زیادی برای بازیکنان ارائه شود. همچنین حافظه کوتاه‌مدت می‌تواند اطلاعات را فقط به مدت 30 ثانیه نگه دارد؛ بعد از این مدت اطلاعات فراموش خواهند شد مگر اینکه اطلاعات، تکرار شده و به حافظه بلندمدت انتقال داده شوند (گرود</w:t>
      </w:r>
      <w:r w:rsidRPr="002F5E4C">
        <w:rPr>
          <w:rFonts w:cs="B Mitra"/>
          <w:sz w:val="22"/>
          <w:szCs w:val="26"/>
          <w:rtl/>
        </w:rPr>
        <w:footnoteReference w:id="10"/>
      </w:r>
      <w:r w:rsidRPr="002F5E4C">
        <w:rPr>
          <w:rFonts w:cs="B Mitra" w:hint="cs"/>
          <w:sz w:val="22"/>
          <w:szCs w:val="26"/>
          <w:rtl/>
        </w:rPr>
        <w:t>، 1996) بنابراین در بازی‌های دیجیتال باید برای بازیکنان فرصت داده شود تا اطلاعات جدید را برای نگه‌داری بیشتر و یادآوری آن‌ها تکرار کرده و پردازش کنند. این مورد را می‌توان از طریق ارائه کنترل بیشتر در ارائه اطلاعات و یادگیری برای یادگیرندگان، فراهم کرد.</w:t>
      </w:r>
    </w:p>
    <w:p w14:paraId="0794304E" w14:textId="77777777" w:rsidR="001769C7" w:rsidRPr="002F5E4C" w:rsidRDefault="001769C7" w:rsidP="002F5E4C">
      <w:pPr>
        <w:bidi/>
        <w:ind w:left="-2"/>
        <w:jc w:val="both"/>
        <w:rPr>
          <w:rFonts w:cs="B Mitra"/>
          <w:sz w:val="22"/>
          <w:szCs w:val="26"/>
          <w:rtl/>
        </w:rPr>
      </w:pPr>
      <w:r w:rsidRPr="002F5E4C">
        <w:rPr>
          <w:rFonts w:cs="B Mitra" w:hint="cs"/>
          <w:sz w:val="22"/>
          <w:szCs w:val="26"/>
          <w:rtl/>
        </w:rPr>
        <w:t>حافظه بلندمدت فقط اطلاعات را ذخیره نمی‌کند بلکه معنی اطلاعات را نیز ذخیره می‌کند. بنابراین برای انتقال اطلاعات از حافظه کوتاه‌مدت به حافظه بلندمدت باید اطلاعات علاوه بر تکرار شدن، بسط و گسترش داده شوند تا اطلاعات معنی‌دار شوند. در بازی‌های دیجیتال معمولاً از طریق شخصیت‌های غیرقابل‌کنترل اشاره‌ها یا توضیحاتی برای شرح اطلاعات برای بازیکنان فراهم می‌شود تا آن‌ها بتوانند بین اطلاعات جدید و دانش موجود خودشان ارتباط برقرار کرده و یادگیری برای آن‌ها معنی‌دار شده و از این طریق به حافظه بلندمدت سپرده شوند (سیانگ و همکاران، 2003).</w:t>
      </w:r>
    </w:p>
    <w:p w14:paraId="5B0DCFD7" w14:textId="1BA58267" w:rsidR="001769C7" w:rsidRPr="00CF7E4D" w:rsidRDefault="002F5E4C" w:rsidP="001769C7">
      <w:pPr>
        <w:pStyle w:val="Heading2"/>
        <w:bidi/>
        <w:jc w:val="both"/>
        <w:rPr>
          <w:rFonts w:cs="B Titr"/>
          <w:sz w:val="24"/>
          <w:rtl/>
          <w:lang w:bidi="fa-IR"/>
        </w:rPr>
      </w:pPr>
      <w:bookmarkStart w:id="4" w:name="_Toc470522594"/>
      <w:r>
        <w:rPr>
          <w:rFonts w:cs="B Titr" w:hint="cs"/>
          <w:sz w:val="24"/>
          <w:rtl/>
          <w:lang w:bidi="fa-IR"/>
        </w:rPr>
        <w:t>3-</w:t>
      </w:r>
      <w:r w:rsidR="001769C7" w:rsidRPr="00EB1356">
        <w:rPr>
          <w:rFonts w:cs="B Titr" w:hint="cs"/>
          <w:sz w:val="24"/>
          <w:rtl/>
          <w:lang w:bidi="fa-IR"/>
        </w:rPr>
        <w:t>طراحی</w:t>
      </w:r>
      <w:r w:rsidR="001769C7" w:rsidRPr="00EB1356">
        <w:rPr>
          <w:rFonts w:cs="B Titr"/>
          <w:sz w:val="24"/>
          <w:rtl/>
          <w:lang w:bidi="fa-IR"/>
        </w:rPr>
        <w:t xml:space="preserve"> </w:t>
      </w:r>
      <w:r w:rsidR="001769C7">
        <w:rPr>
          <w:rFonts w:cs="B Titr" w:hint="eastAsia"/>
          <w:sz w:val="24"/>
          <w:rtl/>
          <w:lang w:bidi="fa-IR"/>
        </w:rPr>
        <w:t>مح</w:t>
      </w:r>
      <w:r w:rsidR="001769C7">
        <w:rPr>
          <w:rFonts w:cs="B Titr" w:hint="cs"/>
          <w:sz w:val="24"/>
          <w:rtl/>
          <w:lang w:bidi="fa-IR"/>
        </w:rPr>
        <w:t>ی</w:t>
      </w:r>
      <w:r w:rsidR="001769C7">
        <w:rPr>
          <w:rFonts w:cs="B Titr" w:hint="eastAsia"/>
          <w:sz w:val="24"/>
          <w:rtl/>
          <w:lang w:bidi="fa-IR"/>
        </w:rPr>
        <w:t>ط‌ها</w:t>
      </w:r>
      <w:r w:rsidR="001769C7">
        <w:rPr>
          <w:rFonts w:cs="B Titr" w:hint="cs"/>
          <w:sz w:val="24"/>
          <w:rtl/>
          <w:lang w:bidi="fa-IR"/>
        </w:rPr>
        <w:t>ی</w:t>
      </w:r>
      <w:r w:rsidR="001769C7" w:rsidRPr="00EB1356">
        <w:rPr>
          <w:rFonts w:cs="B Titr"/>
          <w:sz w:val="24"/>
          <w:rtl/>
          <w:lang w:bidi="fa-IR"/>
        </w:rPr>
        <w:t xml:space="preserve"> </w:t>
      </w:r>
      <w:r w:rsidR="001769C7" w:rsidRPr="00EB1356">
        <w:rPr>
          <w:rFonts w:cs="B Titr" w:hint="cs"/>
          <w:sz w:val="24"/>
          <w:rtl/>
          <w:lang w:bidi="fa-IR"/>
        </w:rPr>
        <w:t>یادگیری</w:t>
      </w:r>
      <w:r w:rsidR="001769C7" w:rsidRPr="00EB1356">
        <w:rPr>
          <w:rFonts w:cs="B Titr"/>
          <w:sz w:val="24"/>
          <w:rtl/>
          <w:lang w:bidi="fa-IR"/>
        </w:rPr>
        <w:t xml:space="preserve"> </w:t>
      </w:r>
      <w:r w:rsidR="001769C7" w:rsidRPr="00EB1356">
        <w:rPr>
          <w:rFonts w:cs="B Titr" w:hint="cs"/>
          <w:sz w:val="24"/>
          <w:rtl/>
          <w:lang w:bidi="fa-IR"/>
        </w:rPr>
        <w:t>انگیزشی</w:t>
      </w:r>
      <w:r w:rsidR="001769C7" w:rsidRPr="00EB1356">
        <w:rPr>
          <w:rFonts w:cs="B Titr"/>
          <w:sz w:val="24"/>
          <w:rtl/>
          <w:lang w:bidi="fa-IR"/>
        </w:rPr>
        <w:t xml:space="preserve"> (</w:t>
      </w:r>
      <w:r w:rsidR="001769C7" w:rsidRPr="00EB1356">
        <w:rPr>
          <w:rFonts w:cs="B Titr"/>
          <w:sz w:val="24"/>
          <w:lang w:bidi="fa-IR"/>
        </w:rPr>
        <w:t xml:space="preserve"> ARCS</w:t>
      </w:r>
      <w:r w:rsidR="001769C7" w:rsidRPr="00EB1356">
        <w:rPr>
          <w:rFonts w:cs="B Titr"/>
          <w:sz w:val="24"/>
          <w:rtl/>
          <w:lang w:bidi="fa-IR"/>
        </w:rPr>
        <w:t>)</w:t>
      </w:r>
      <w:bookmarkEnd w:id="4"/>
      <w:r w:rsidR="001769C7" w:rsidRPr="00EB1356">
        <w:rPr>
          <w:rFonts w:cs="B Titr"/>
          <w:sz w:val="24"/>
          <w:rtl/>
          <w:lang w:bidi="fa-IR"/>
        </w:rPr>
        <w:t xml:space="preserve"> </w:t>
      </w:r>
    </w:p>
    <w:p w14:paraId="3BEB4B17" w14:textId="77777777" w:rsidR="001769C7" w:rsidRPr="002F5E4C" w:rsidRDefault="001769C7" w:rsidP="002F5E4C">
      <w:pPr>
        <w:bidi/>
        <w:ind w:left="-2"/>
        <w:jc w:val="both"/>
        <w:rPr>
          <w:rFonts w:cs="B Mitra"/>
          <w:sz w:val="22"/>
          <w:szCs w:val="26"/>
          <w:rtl/>
        </w:rPr>
      </w:pPr>
      <w:r w:rsidRPr="002F5E4C">
        <w:rPr>
          <w:rFonts w:cs="B Mitra" w:hint="cs"/>
          <w:sz w:val="22"/>
          <w:szCs w:val="26"/>
          <w:rtl/>
        </w:rPr>
        <w:t>یکی از نظریه‌هایی که به‌کارگیری گیم های دیجیتال در یادگیری را پشتیبانی می‌کند، نظریه طراحی انگیزشی آموزش چهار عنصری کلر</w:t>
      </w:r>
      <w:r w:rsidRPr="002F5E4C">
        <w:rPr>
          <w:rFonts w:cs="B Mitra"/>
          <w:sz w:val="22"/>
          <w:szCs w:val="26"/>
          <w:rtl/>
        </w:rPr>
        <w:footnoteReference w:id="11"/>
      </w:r>
      <w:r w:rsidRPr="002F5E4C">
        <w:rPr>
          <w:rFonts w:cs="B Mitra" w:hint="cs"/>
          <w:sz w:val="22"/>
          <w:szCs w:val="26"/>
          <w:rtl/>
        </w:rPr>
        <w:t xml:space="preserve"> است. این مدل یکی از مدل‌های معروف طراحی محیط‌های یادگیری انگیزشی در رشته طراحی آموزشی می‌باشد. این مدل از چهار مؤلفه توجه</w:t>
      </w:r>
      <w:r w:rsidRPr="002F5E4C">
        <w:rPr>
          <w:rFonts w:cs="B Mitra"/>
          <w:sz w:val="22"/>
          <w:szCs w:val="26"/>
          <w:rtl/>
        </w:rPr>
        <w:footnoteReference w:id="12"/>
      </w:r>
      <w:r w:rsidRPr="002F5E4C">
        <w:rPr>
          <w:rFonts w:cs="B Mitra" w:hint="cs"/>
          <w:sz w:val="22"/>
          <w:szCs w:val="26"/>
          <w:rtl/>
        </w:rPr>
        <w:t>،ارتباط</w:t>
      </w:r>
      <w:r w:rsidRPr="002F5E4C">
        <w:rPr>
          <w:rFonts w:cs="B Mitra"/>
          <w:sz w:val="22"/>
          <w:szCs w:val="26"/>
          <w:rtl/>
        </w:rPr>
        <w:footnoteReference w:id="13"/>
      </w:r>
      <w:r w:rsidRPr="002F5E4C">
        <w:rPr>
          <w:rFonts w:cs="B Mitra" w:hint="cs"/>
          <w:sz w:val="22"/>
          <w:szCs w:val="26"/>
          <w:rtl/>
        </w:rPr>
        <w:t>، اعتماد</w:t>
      </w:r>
      <w:r w:rsidRPr="002F5E4C">
        <w:rPr>
          <w:rFonts w:cs="B Mitra"/>
          <w:sz w:val="22"/>
          <w:szCs w:val="26"/>
          <w:rtl/>
        </w:rPr>
        <w:footnoteReference w:id="14"/>
      </w:r>
      <w:r w:rsidRPr="002F5E4C">
        <w:rPr>
          <w:rFonts w:cs="B Mitra" w:hint="cs"/>
          <w:sz w:val="22"/>
          <w:szCs w:val="26"/>
          <w:rtl/>
        </w:rPr>
        <w:t xml:space="preserve"> و رضایت</w:t>
      </w:r>
      <w:r w:rsidRPr="002F5E4C">
        <w:rPr>
          <w:rFonts w:cs="B Mitra"/>
          <w:sz w:val="22"/>
          <w:szCs w:val="26"/>
          <w:rtl/>
        </w:rPr>
        <w:footnoteReference w:id="15"/>
      </w:r>
      <w:r w:rsidRPr="002F5E4C">
        <w:rPr>
          <w:rFonts w:cs="B Mitra" w:hint="cs"/>
          <w:sz w:val="22"/>
          <w:szCs w:val="26"/>
          <w:rtl/>
        </w:rPr>
        <w:t xml:space="preserve"> تشکیل شده است. با شرح مختصر هر یک از عناصر تشکیل‌دهنده این مدل به‌راحتی قابل تشخیص خواهد بود که این عناصر چگونه در گیم ها بکار گرفته می‌شوند.</w:t>
      </w:r>
    </w:p>
    <w:p w14:paraId="4CAC7EFB" w14:textId="77777777" w:rsidR="001769C7" w:rsidRPr="002F5E4C" w:rsidRDefault="001769C7" w:rsidP="002F5E4C">
      <w:pPr>
        <w:bidi/>
        <w:ind w:left="-2"/>
        <w:jc w:val="both"/>
        <w:rPr>
          <w:rFonts w:cs="B Mitra"/>
          <w:sz w:val="22"/>
          <w:szCs w:val="26"/>
        </w:rPr>
      </w:pPr>
      <w:r w:rsidRPr="002F5E4C">
        <w:rPr>
          <w:rFonts w:cs="B Mitra" w:hint="cs"/>
          <w:sz w:val="22"/>
          <w:szCs w:val="26"/>
          <w:rtl/>
        </w:rPr>
        <w:t>توجه</w:t>
      </w:r>
    </w:p>
    <w:p w14:paraId="109043EB" w14:textId="77777777" w:rsidR="001769C7" w:rsidRPr="002F5E4C" w:rsidRDefault="001769C7" w:rsidP="002F5E4C">
      <w:pPr>
        <w:bidi/>
        <w:ind w:left="-2"/>
        <w:jc w:val="both"/>
        <w:rPr>
          <w:rFonts w:cs="B Mitra"/>
          <w:sz w:val="22"/>
          <w:szCs w:val="26"/>
          <w:rtl/>
        </w:rPr>
      </w:pPr>
      <w:r w:rsidRPr="002F5E4C">
        <w:rPr>
          <w:rFonts w:cs="B Mitra" w:hint="cs"/>
          <w:sz w:val="22"/>
          <w:szCs w:val="26"/>
          <w:rtl/>
        </w:rPr>
        <w:t>برای علاقه‌مند کردن یادگیرندگان یا بازیکنان به یادگیری و بازی، ابتدا باید توجه آن‌ها جلب شود. جلب توجه می‌تواند به روش‌های متنوع انجام شود. انگیختگی ادراکی یادگیرندگان و بازیکنان می‌تواند از طریق ارائه نمونه‌های ویژه و مرتبط به یادگیرندگان، استفاده از آیتم‌های ناسازگار و متضاد و شگفت‌زده کردن یادگیرندگان  تحریک شود. انگیختگی اکتشافی می‌تواند به‌وسیله تحریک کنجکاوی یادگیرندگان از طریق ارائه سؤال یا مساله ای در مورد تجاربی که یادگیرندگان علاقه‌مند هستند برای آن‌ها پاسخ یا راه‌حلی ارائه کنند. تنوع نیز یکی از روش‌هایی است که برای نگه‌داشتن توجه یادگیرنده بکار برده می‌شود. تنوع می‌تواند به روش‌های مختلفی به‌کاربرده شود ازجمله تنوع در روش‌های ارائه و نمایش محتوا، تنوع در صدای گوینده، تنوع در صدای پس‌زمینه.</w:t>
      </w:r>
    </w:p>
    <w:p w14:paraId="098A54F5" w14:textId="77777777" w:rsidR="001769C7" w:rsidRPr="002F5E4C" w:rsidRDefault="001769C7" w:rsidP="002F5E4C">
      <w:pPr>
        <w:bidi/>
        <w:ind w:left="-2"/>
        <w:jc w:val="both"/>
        <w:rPr>
          <w:rFonts w:cs="B Mitra"/>
          <w:sz w:val="22"/>
          <w:szCs w:val="26"/>
        </w:rPr>
      </w:pPr>
      <w:r w:rsidRPr="002F5E4C">
        <w:rPr>
          <w:rFonts w:cs="B Mitra" w:hint="cs"/>
          <w:sz w:val="22"/>
          <w:szCs w:val="26"/>
          <w:rtl/>
        </w:rPr>
        <w:t>ارتباط</w:t>
      </w:r>
    </w:p>
    <w:p w14:paraId="1AE9F287" w14:textId="77777777" w:rsidR="001769C7" w:rsidRPr="002F5E4C" w:rsidRDefault="001769C7" w:rsidP="002F5E4C">
      <w:pPr>
        <w:bidi/>
        <w:ind w:left="-2"/>
        <w:jc w:val="both"/>
        <w:rPr>
          <w:rFonts w:cs="B Mitra"/>
          <w:sz w:val="22"/>
          <w:szCs w:val="26"/>
          <w:rtl/>
        </w:rPr>
      </w:pPr>
      <w:r w:rsidRPr="002F5E4C">
        <w:rPr>
          <w:rFonts w:cs="B Mitra" w:hint="cs"/>
          <w:sz w:val="22"/>
          <w:szCs w:val="26"/>
          <w:rtl/>
        </w:rPr>
        <w:t xml:space="preserve">مرتبط بودن مواد یا محتوای آموزشی برای یادگیرندگان باید در سه زمینه رعایت شود: (1) هدف محوری: یادگیرندگان باید از طریق شرح اینکه هدف یا اهداف مورد نظر آموزشی چگونه می‌تواند در زمان حال و آینده برای یادگیرندگان کمک کننده باشد نسبت به اهمیت هدف یا اهداف آگاه شوند. (2) انگیزه آموزش با انگیزه یادگیرندگان باید مطابقت داشته باشد. انگیزه یادگیرندگان </w:t>
      </w:r>
      <w:r w:rsidRPr="002F5E4C">
        <w:rPr>
          <w:rFonts w:cs="B Mitra" w:hint="cs"/>
          <w:sz w:val="22"/>
          <w:szCs w:val="26"/>
          <w:rtl/>
        </w:rPr>
        <w:lastRenderedPageBreak/>
        <w:t>می‌تواند در زمینه‌هایی ازجمله پیشرفت، قدرت، وابستگی، خطر کردن باشد. (3) آشنایی: نشان دادن اینکه مطالب یا محتوای مورد نظر آموزشی چگونه به دانش موجود آن‌ها مرتبط است. به عبارتی مواد آموزشی باید به زندگی و تجارب واقعی یادگیرنده مرتبط باشد. (4)نمونه‌هایی از نتایج کسب محتوای آموزشی مورد نظر را نشان دهید.</w:t>
      </w:r>
    </w:p>
    <w:p w14:paraId="1C09EF60" w14:textId="77777777" w:rsidR="001769C7" w:rsidRPr="002F5E4C" w:rsidRDefault="001769C7" w:rsidP="002F5E4C">
      <w:pPr>
        <w:bidi/>
        <w:ind w:left="-2"/>
        <w:jc w:val="both"/>
        <w:rPr>
          <w:rFonts w:cs="B Mitra"/>
          <w:sz w:val="22"/>
          <w:szCs w:val="26"/>
        </w:rPr>
      </w:pPr>
      <w:r w:rsidRPr="002F5E4C">
        <w:rPr>
          <w:rFonts w:cs="B Mitra" w:hint="cs"/>
          <w:sz w:val="22"/>
          <w:szCs w:val="26"/>
          <w:rtl/>
        </w:rPr>
        <w:t>اعتماد</w:t>
      </w:r>
    </w:p>
    <w:p w14:paraId="4430F08B" w14:textId="77777777" w:rsidR="001769C7" w:rsidRPr="002F5E4C" w:rsidRDefault="001769C7" w:rsidP="002F5E4C">
      <w:pPr>
        <w:bidi/>
        <w:ind w:left="-2"/>
        <w:jc w:val="both"/>
        <w:rPr>
          <w:rFonts w:cs="B Mitra"/>
          <w:sz w:val="22"/>
          <w:szCs w:val="26"/>
          <w:rtl/>
        </w:rPr>
      </w:pPr>
      <w:r w:rsidRPr="002F5E4C">
        <w:rPr>
          <w:rFonts w:cs="B Mitra" w:hint="cs"/>
          <w:sz w:val="22"/>
          <w:szCs w:val="26"/>
          <w:rtl/>
        </w:rPr>
        <w:t>این مورد نشان‌دهنده انتظار یادگیرندگان در مورد توانایی خودشان در رسیدن به هدف آموزش و یادگیری می‌باشد. اگر یادگیرندگان این احساس و اطمینان را به دست بیاورند که می‌توانند محتوای آموزشی را یاد بگیرند انگیزه یادگیری آن‌ها افزایش خواهد یافت. یکی از روش‌هایی که در این زمینه می‌تواند به یادگیرندگان کمک کند این است که انتظارات از یادگیرندگان در شروع آموزش باید به روشنی بیان شوند. اگر یادگیرندگان به روشنی بدانند که چقدر زمان و تلاش برای یادگیری مواد آموزشی نیاز دارند آن‌ها  احتمال بیشتر این زمان و تلاش را برای یادگیری به کار خواهند گرفت. ولی اگر یادگیرندگان ندانند که چقدر زمان و تلاش برای یادگیری نیاز است آن‌ها نسبت به یادگیری بی‌میل خواهند شد. مورد در عنصر اعتماد این است که یادگیرندگان دوست دارند در هرکاری ازجمله یادگیری، موفق باشند. موضوعات زیاد و پیچیده باید به بخش‌های کوچک و ساده‌ای تقسیم شوند. این بخش‌ها باید از آسان‌ترین بخش شروع شده و به‌طور تدریجی سختی و پیچیدگی آن افزایش داده شود. بدین وسیله هم یادگیرنده می‌تواند با بخش آغازین موضوع آشنا شده و هم در یادگیری آن بخش موفقیت به دست بیاورد. زمانیکه با موضوعی آشنا شود ساختار ذهنی و شناختی وی نسبت به یادگیری بخش‌های پیچیده‌تر آماده می‌شود و همچنین احساس موفقیت در یادگیری این بخش انگیزه یادگیرنده را برای یادگیری بخش بعدی افزایش می‌دهد. مورد سوم در زمینه عنصر اعتماد این است که وقتی یادگیرندگان احساس کنند که می‌توانند موفقیت و یادگیری خود را کنترل کنند انگیزه یادگیری و موفقیت آن‌ها بیشتر می‌شود. از طریق فراهم کردن داشتن حق انتخاب در بخش‌های مختلف یادگیری، بازخورد و تقویت باور و احساس کنترل بر یادگیری و موفقیت را برای آن‌ها فراهم کنیم.</w:t>
      </w:r>
    </w:p>
    <w:p w14:paraId="2488E6F4" w14:textId="77777777" w:rsidR="001769C7" w:rsidRPr="002F5E4C" w:rsidRDefault="001769C7" w:rsidP="002F5E4C">
      <w:pPr>
        <w:bidi/>
        <w:ind w:left="-2"/>
        <w:jc w:val="both"/>
        <w:rPr>
          <w:rFonts w:cs="B Mitra"/>
          <w:sz w:val="22"/>
          <w:szCs w:val="26"/>
        </w:rPr>
      </w:pPr>
      <w:r w:rsidRPr="002F5E4C">
        <w:rPr>
          <w:rFonts w:cs="B Mitra" w:hint="cs"/>
          <w:sz w:val="22"/>
          <w:szCs w:val="26"/>
          <w:rtl/>
        </w:rPr>
        <w:t>رضایت</w:t>
      </w:r>
    </w:p>
    <w:p w14:paraId="3310EC0B" w14:textId="77777777" w:rsidR="001769C7" w:rsidRPr="002F5E4C" w:rsidRDefault="001769C7" w:rsidP="002F5E4C">
      <w:pPr>
        <w:bidi/>
        <w:ind w:left="-2"/>
        <w:jc w:val="both"/>
        <w:rPr>
          <w:rFonts w:cs="B Mitra"/>
          <w:sz w:val="22"/>
          <w:szCs w:val="26"/>
          <w:rtl/>
        </w:rPr>
      </w:pPr>
      <w:r w:rsidRPr="002F5E4C">
        <w:rPr>
          <w:rFonts w:cs="B Mitra" w:hint="cs"/>
          <w:sz w:val="22"/>
          <w:szCs w:val="26"/>
          <w:rtl/>
        </w:rPr>
        <w:t xml:space="preserve">یادگیرندگان، زمانی که بدانند یادگیری برای آن‌ها ارزشمند است انگیزه آن‌ها برای تلاش جهت یادگیری بیشتر خواهد شد. باید در آموزش فرصت‌هایی فراهم شود تا آن‌ها بتوانند دانش یا مهارت جدید خود را در زندگی واقعی خودشان به کار گرفته و به ارزشمندی موضوع یادگیری خودشان پی ببرند. بنابراین تشویق‌ها و تقویت‌های مثبت را برای آن‌ها فراهم کنید، انگیزش درونی آن‌ها را تحریک کنید. کاربرد موضوع یادگیری در زندگی واقعی هم برای یادگیرندگان تقویت‌کننده است و هم انگیزه درونی آن‌ها را تحریک دمی کند. بنابراین زمانیکه یادگیرندگان ببینند که یادگیری موضوع، نیازی از نیازهای آن‌ها را تأمین می‌کند یا دردی از دردهای آن‌ها را درمان می‌کند انگیزه یادگیری آن‌ها بیشتر می‌شود. </w:t>
      </w:r>
    </w:p>
    <w:p w14:paraId="2B3C2DD3" w14:textId="3828CC7A" w:rsidR="001769C7" w:rsidRPr="002F5E4C" w:rsidRDefault="002F5E4C" w:rsidP="001769C7">
      <w:pPr>
        <w:pStyle w:val="Heading2"/>
        <w:bidi/>
        <w:jc w:val="both"/>
        <w:rPr>
          <w:rFonts w:cs="B Titr"/>
          <w:b w:val="0"/>
          <w:bCs w:val="0"/>
          <w:sz w:val="24"/>
          <w:rtl/>
          <w:lang w:bidi="fa-IR"/>
        </w:rPr>
      </w:pPr>
      <w:bookmarkStart w:id="5" w:name="_Toc470522595"/>
      <w:r w:rsidRPr="002F5E4C">
        <w:rPr>
          <w:rFonts w:cs="B Titr" w:hint="cs"/>
          <w:sz w:val="24"/>
          <w:rtl/>
          <w:lang w:bidi="fa-IR"/>
        </w:rPr>
        <w:t>4-</w:t>
      </w:r>
      <w:r w:rsidR="001769C7" w:rsidRPr="002F5E4C">
        <w:rPr>
          <w:rFonts w:cs="B Titr" w:hint="cs"/>
          <w:sz w:val="24"/>
          <w:rtl/>
          <w:lang w:bidi="fa-IR"/>
        </w:rPr>
        <w:t>نظریه</w:t>
      </w:r>
      <w:r w:rsidR="001769C7" w:rsidRPr="002F5E4C">
        <w:rPr>
          <w:rFonts w:cs="B Titr"/>
          <w:sz w:val="24"/>
          <w:rtl/>
          <w:lang w:bidi="fa-IR"/>
        </w:rPr>
        <w:t xml:space="preserve"> </w:t>
      </w:r>
      <w:r w:rsidR="001769C7" w:rsidRPr="002F5E4C">
        <w:rPr>
          <w:rFonts w:cs="B Titr" w:hint="cs"/>
          <w:sz w:val="24"/>
          <w:rtl/>
          <w:lang w:bidi="fa-IR"/>
        </w:rPr>
        <w:t>انگیزش</w:t>
      </w:r>
      <w:r w:rsidR="001769C7" w:rsidRPr="002F5E4C">
        <w:rPr>
          <w:rFonts w:cs="B Titr"/>
          <w:sz w:val="24"/>
          <w:rtl/>
          <w:lang w:bidi="fa-IR"/>
        </w:rPr>
        <w:t xml:space="preserve"> </w:t>
      </w:r>
      <w:r w:rsidR="001769C7" w:rsidRPr="002F5E4C">
        <w:rPr>
          <w:rFonts w:cs="B Titr" w:hint="cs"/>
          <w:sz w:val="24"/>
          <w:rtl/>
          <w:lang w:bidi="fa-IR"/>
        </w:rPr>
        <w:t>درونی</w:t>
      </w:r>
      <w:r w:rsidR="001769C7" w:rsidRPr="002F5E4C">
        <w:rPr>
          <w:rStyle w:val="FootnoteReference"/>
          <w:rFonts w:cs="B Titr"/>
          <w:sz w:val="24"/>
          <w:rtl/>
          <w:lang w:bidi="fa-IR"/>
        </w:rPr>
        <w:footnoteReference w:id="16"/>
      </w:r>
      <w:r w:rsidR="001769C7" w:rsidRPr="002F5E4C">
        <w:rPr>
          <w:rFonts w:cs="B Titr"/>
          <w:sz w:val="24"/>
          <w:rtl/>
          <w:lang w:bidi="fa-IR"/>
        </w:rPr>
        <w:t xml:space="preserve"> </w:t>
      </w:r>
      <w:r w:rsidR="001769C7" w:rsidRPr="002F5E4C">
        <w:rPr>
          <w:rFonts w:cs="B Titr" w:hint="cs"/>
          <w:sz w:val="24"/>
          <w:rtl/>
          <w:lang w:bidi="fa-IR"/>
        </w:rPr>
        <w:t>مالون</w:t>
      </w:r>
      <w:r w:rsidR="001769C7" w:rsidRPr="002F5E4C">
        <w:rPr>
          <w:rStyle w:val="FootnoteReference"/>
          <w:rFonts w:cs="B Titr"/>
          <w:sz w:val="24"/>
          <w:rtl/>
          <w:lang w:bidi="fa-IR"/>
        </w:rPr>
        <w:footnoteReference w:id="17"/>
      </w:r>
      <w:bookmarkEnd w:id="5"/>
    </w:p>
    <w:p w14:paraId="3EB6CA99" w14:textId="77777777" w:rsidR="001769C7" w:rsidRPr="002F5E4C" w:rsidRDefault="001769C7" w:rsidP="002F5E4C">
      <w:pPr>
        <w:bidi/>
        <w:ind w:left="-2"/>
        <w:jc w:val="both"/>
        <w:rPr>
          <w:rFonts w:cs="B Mitra"/>
          <w:sz w:val="22"/>
          <w:szCs w:val="26"/>
          <w:rtl/>
        </w:rPr>
      </w:pPr>
      <w:r w:rsidRPr="002F5E4C">
        <w:rPr>
          <w:rFonts w:cs="B Mitra" w:hint="cs"/>
          <w:sz w:val="22"/>
          <w:szCs w:val="26"/>
          <w:rtl/>
        </w:rPr>
        <w:t>در دهه 1980 با این سؤال که چرا گیم ها بسیار سرگرم کننده و برانگیزاننده هستند، تحقیقاتی را شروع کرد. نتایج تحقیقات وی به ارائه اصول یا عناصر انگیزش درونی منتهی شد. سه عنصر اساسی چالش، فانتزی و کنجکاوی، عواملی هستند که گیم ها را سرگرم کننده، جذاب و برانگیزاننده می‌کنند.</w:t>
      </w:r>
    </w:p>
    <w:p w14:paraId="05872C59" w14:textId="77777777" w:rsidR="001769C7" w:rsidRPr="002F5E4C" w:rsidRDefault="001769C7" w:rsidP="002F5E4C">
      <w:pPr>
        <w:bidi/>
        <w:ind w:left="-2"/>
        <w:jc w:val="both"/>
        <w:rPr>
          <w:rFonts w:cs="B Mitra"/>
          <w:sz w:val="22"/>
          <w:szCs w:val="26"/>
          <w:rtl/>
        </w:rPr>
      </w:pPr>
      <w:r w:rsidRPr="002F5E4C">
        <w:rPr>
          <w:rFonts w:cs="B Mitra" w:hint="cs"/>
          <w:sz w:val="22"/>
          <w:szCs w:val="26"/>
          <w:rtl/>
        </w:rPr>
        <w:t>چالش</w:t>
      </w:r>
    </w:p>
    <w:p w14:paraId="2DBD00DD" w14:textId="77777777" w:rsidR="001769C7" w:rsidRPr="002F5E4C" w:rsidRDefault="001769C7" w:rsidP="002F5E4C">
      <w:pPr>
        <w:bidi/>
        <w:ind w:left="-2"/>
        <w:jc w:val="both"/>
        <w:rPr>
          <w:rFonts w:cs="B Mitra"/>
          <w:sz w:val="22"/>
          <w:szCs w:val="26"/>
          <w:rtl/>
        </w:rPr>
      </w:pPr>
      <w:r w:rsidRPr="002F5E4C">
        <w:rPr>
          <w:rFonts w:cs="B Mitra" w:hint="cs"/>
          <w:sz w:val="22"/>
          <w:szCs w:val="26"/>
          <w:rtl/>
        </w:rPr>
        <w:lastRenderedPageBreak/>
        <w:t>فعالیتی می‌تواند انگیزش درونی یادگیرندگان را تحریک کند که برای آن‌ها چالشی باشد. فعالیت‌های چالشی می‌تواند با اهدافی که رسیدن به آن‌ها پیامدهای نامطمئنی دارد یعنی یادگیرنده مطمئن نیست که به آن هدف می‌رسد یا نمی‌رسد فراهم شود. فعالیت‌های چالشی دارای سطوح دشواری مختلفی هستند. متناسب با فعالیت یادگیرندگان برای آن‌ها بازخورد فراهم می‌کنند. اهداف یا فعالیت‌های چندمرحله‌ای فراهم می‌کنند. فراهم کردن اهداف چندمرحله‌ای موجب می‌شود که هر یک از مراحل متناسب بادانش و توانایی‌های موجود یادگیرنده باشد (مراحل اولیه آسان و مراحل بعدی به‌طور تدریجی سخت می‌شوند) همچنین موجب می‌شود که عنصر چالش در تمام مراحل انجام فعالیت‌ها، تداوم داشته باشد. مالون بیان می‌کند به‌طور کلی روش‌هایی که رسیدن به اهداف و پیامدها را نامطمئن می‌کنند، شامل سطح دشواری متنوع</w:t>
      </w:r>
      <w:r w:rsidRPr="002F5E4C">
        <w:rPr>
          <w:rFonts w:cs="B Mitra"/>
          <w:sz w:val="22"/>
          <w:szCs w:val="26"/>
          <w:rtl/>
        </w:rPr>
        <w:footnoteReference w:id="18"/>
      </w:r>
      <w:r w:rsidRPr="002F5E4C">
        <w:rPr>
          <w:rFonts w:cs="B Mitra" w:hint="cs"/>
          <w:sz w:val="22"/>
          <w:szCs w:val="26"/>
          <w:rtl/>
        </w:rPr>
        <w:t>، اهداف چند سطحی</w:t>
      </w:r>
      <w:r w:rsidRPr="002F5E4C">
        <w:rPr>
          <w:rFonts w:cs="B Mitra"/>
          <w:sz w:val="22"/>
          <w:szCs w:val="26"/>
          <w:rtl/>
        </w:rPr>
        <w:footnoteReference w:id="19"/>
      </w:r>
      <w:r w:rsidRPr="002F5E4C">
        <w:rPr>
          <w:rFonts w:cs="B Mitra" w:hint="cs"/>
          <w:sz w:val="22"/>
          <w:szCs w:val="26"/>
          <w:rtl/>
        </w:rPr>
        <w:t>، اطلاعات مخفیانه</w:t>
      </w:r>
      <w:r w:rsidRPr="002F5E4C">
        <w:rPr>
          <w:rFonts w:cs="B Mitra"/>
          <w:sz w:val="22"/>
          <w:szCs w:val="26"/>
          <w:rtl/>
        </w:rPr>
        <w:footnoteReference w:id="20"/>
      </w:r>
      <w:r w:rsidRPr="002F5E4C">
        <w:rPr>
          <w:rFonts w:cs="B Mitra" w:hint="cs"/>
          <w:sz w:val="22"/>
          <w:szCs w:val="26"/>
          <w:rtl/>
        </w:rPr>
        <w:t xml:space="preserve"> و تصادفی بودن</w:t>
      </w:r>
      <w:r w:rsidRPr="002F5E4C">
        <w:rPr>
          <w:rFonts w:cs="B Mitra"/>
          <w:sz w:val="22"/>
          <w:szCs w:val="26"/>
          <w:rtl/>
        </w:rPr>
        <w:footnoteReference w:id="21"/>
      </w:r>
      <w:r w:rsidRPr="002F5E4C">
        <w:rPr>
          <w:rFonts w:cs="B Mitra" w:hint="cs"/>
          <w:sz w:val="22"/>
          <w:szCs w:val="26"/>
          <w:rtl/>
        </w:rPr>
        <w:t xml:space="preserve"> می‌باشد. </w:t>
      </w:r>
    </w:p>
    <w:p w14:paraId="46D6F068" w14:textId="77777777" w:rsidR="001769C7" w:rsidRPr="002F5E4C" w:rsidRDefault="001769C7" w:rsidP="002F5E4C">
      <w:pPr>
        <w:bidi/>
        <w:ind w:left="-2"/>
        <w:jc w:val="both"/>
        <w:rPr>
          <w:rFonts w:cs="B Mitra"/>
          <w:sz w:val="22"/>
          <w:szCs w:val="26"/>
          <w:rtl/>
        </w:rPr>
      </w:pPr>
      <w:r w:rsidRPr="002F5E4C">
        <w:rPr>
          <w:rFonts w:cs="B Mitra" w:hint="cs"/>
          <w:sz w:val="22"/>
          <w:szCs w:val="26"/>
          <w:rtl/>
        </w:rPr>
        <w:t>فانتزی</w:t>
      </w:r>
    </w:p>
    <w:p w14:paraId="3ED1A29E" w14:textId="77777777" w:rsidR="001769C7" w:rsidRPr="002F5E4C" w:rsidRDefault="001769C7" w:rsidP="002F5E4C">
      <w:pPr>
        <w:bidi/>
        <w:ind w:left="-2"/>
        <w:jc w:val="both"/>
        <w:rPr>
          <w:rFonts w:cs="B Mitra"/>
          <w:sz w:val="22"/>
          <w:szCs w:val="26"/>
          <w:rtl/>
        </w:rPr>
      </w:pPr>
      <w:r w:rsidRPr="002F5E4C">
        <w:rPr>
          <w:rFonts w:cs="B Mitra" w:hint="cs"/>
          <w:sz w:val="22"/>
          <w:szCs w:val="26"/>
          <w:rtl/>
        </w:rPr>
        <w:t>مالون مفهوم فانتزی را به عنوان محیطی یا موقعیتی که تصور ذهنی فرد از اشیا را  فراخوانده و شکل می‌دهد  این اشیا در موقعیتی که فرد مشغول تجربه است برای وی احساس تجربه واقعی بودن را ارائه نمی‌دهد. به عبارتی تصور ذهنی یا تجربه‌ای که در حال انجام آن، آن تصور و تجربه برای فرد واقعی نیست ولی در موقعیت‌های دیگر می‌تواند واقعی باشد. برای نمونه کودکانی که در یک بازی، یکی نقش پزشک و یکی نقش بیمار را بازی می‌کنند، پزشک بودن یا بیمار بودن آن‌ها در آن موقعیت واقعی نبوده و حالت فانتزی دارد. مالون بیان می‌کند که فانتزی بودن محیط‌های آموزشی و یادگیری می‌تواند آن محیط را بیشتر مورد علاقه یادگیرندگان کرده و هم می‌تواند اثربخشی آموزشی آن محیط را افزایش دهد. فانتزی بودن محیط‌های یادگیری هم می‌تواند به لحاظ شناختی و هم می‌تواند به لحاظ عاطفی برای یادگیرندگان درگیر کننده باشد (مالون،1987). از نظر شناختی فانتزی بودن محیط می‌تواند استعاره و شباهت محیط یادگیری را با محیط واقعی که یادگیری در آن به‌کاربرده می‌شود فراهم کند. از نظر عاطفی نیز می‌تواند هیجان بازیکنان را برانگیخته و به نیازهای عاطفی آن‌ها پاسخگو باشد.</w:t>
      </w:r>
    </w:p>
    <w:p w14:paraId="0B586344" w14:textId="77777777" w:rsidR="001769C7" w:rsidRPr="002F5E4C" w:rsidRDefault="001769C7" w:rsidP="002F5E4C">
      <w:pPr>
        <w:bidi/>
        <w:ind w:left="-2"/>
        <w:jc w:val="both"/>
        <w:rPr>
          <w:rFonts w:cs="B Mitra"/>
          <w:sz w:val="22"/>
          <w:szCs w:val="26"/>
          <w:rtl/>
        </w:rPr>
      </w:pPr>
      <w:r w:rsidRPr="002F5E4C">
        <w:rPr>
          <w:rFonts w:cs="B Mitra" w:hint="cs"/>
          <w:sz w:val="22"/>
          <w:szCs w:val="26"/>
          <w:rtl/>
        </w:rPr>
        <w:t>کنجکاوی</w:t>
      </w:r>
    </w:p>
    <w:p w14:paraId="58E4CF57" w14:textId="77777777" w:rsidR="001769C7" w:rsidRPr="002F5E4C" w:rsidRDefault="001769C7" w:rsidP="002F5E4C">
      <w:pPr>
        <w:bidi/>
        <w:ind w:left="-2"/>
        <w:jc w:val="both"/>
        <w:rPr>
          <w:rFonts w:cs="B Mitra"/>
          <w:sz w:val="22"/>
          <w:szCs w:val="26"/>
          <w:rtl/>
        </w:rPr>
      </w:pPr>
      <w:r w:rsidRPr="002F5E4C">
        <w:rPr>
          <w:rFonts w:cs="B Mitra" w:hint="cs"/>
          <w:sz w:val="22"/>
          <w:szCs w:val="26"/>
          <w:rtl/>
        </w:rPr>
        <w:t>محیط‌ها می‌توانند از طریق ارائه اطلاعات پیچیده در سطح مطلوب و محیط تازه و هیجان برانگیز، کنجکاوی را فراهم کنند. مالون بیان می‌کند کنجکاوی دارای دو بعد یا عنصر احساسی و شناختی است. کنجکاوی حسی بر ارزش جلب توجه کنندگی از طریق تغییر در نور، رنگ، صدا، موسیقی و دیگر محرک‌های محیط می‌باشد تأکید دارد. کنجکاوی شناختی از طریق تغییر در ساختارهای شناختی سطح بالا به وجود می‌آید. مالون بیان می‌کند کنجکاوی شناختی می‌تواند از طریق ایجاد این باور در یادگیرندگان یا بازیکنان که ساختارهای شناختی آن‌ها در مواجهه با فعالیت‌ها و موضوعات مورد نظر، ناقص، ناسازگار است یا انجام فعالیت‌های مبتنی بر مساله و مرتبط بوجود بیاید. بنابراین باید فعالیت‌هایی که دارای مشکل و مساله هستند و یا سؤال‌هایی را به وجود می‌آورند، طراحی شوند تا حس ارائه راه‌حل به مسائل و پاسخ دادن به سؤالات در آن‌ها به وجود آید.</w:t>
      </w:r>
    </w:p>
    <w:p w14:paraId="5CF319D1" w14:textId="77777777" w:rsidR="001769C7" w:rsidRPr="002F5E4C" w:rsidRDefault="001769C7" w:rsidP="002F5E4C">
      <w:pPr>
        <w:bidi/>
        <w:ind w:left="-2"/>
        <w:jc w:val="both"/>
        <w:rPr>
          <w:rFonts w:cs="B Mitra"/>
          <w:sz w:val="22"/>
          <w:szCs w:val="26"/>
          <w:rtl/>
        </w:rPr>
      </w:pPr>
      <w:r w:rsidRPr="002F5E4C">
        <w:rPr>
          <w:rFonts w:cs="B Mitra" w:hint="cs"/>
          <w:sz w:val="22"/>
          <w:szCs w:val="26"/>
          <w:rtl/>
        </w:rPr>
        <w:t xml:space="preserve">برای افزایش بیشتر حالت کنجکاوی و نگه‌داشتن آن بازخوردها باید برای یادگیرنده تعجب‌آور و شگفت‌انگیز و مفید باشد. برای شگفت‌انگیز و متعجب کردن بازخوردها باید از بازخوردهای تصادفی استفاده کرد. همچنین می‌توان اطلاعات یا اشیائی را در </w:t>
      </w:r>
      <w:r w:rsidRPr="002F5E4C">
        <w:rPr>
          <w:rFonts w:cs="B Mitra" w:hint="cs"/>
          <w:sz w:val="22"/>
          <w:szCs w:val="26"/>
          <w:rtl/>
        </w:rPr>
        <w:lastRenderedPageBreak/>
        <w:t>محیط پنهان کرد. روش بهتر برای این مورد این است که اطلاعات، مفاهیم و عناصر اساسی در طول بازی کم‌کم آشکارشده و ارائه گردند.</w:t>
      </w:r>
    </w:p>
    <w:p w14:paraId="75323F43" w14:textId="17A3C72E" w:rsidR="001769C7" w:rsidRPr="00EB1356" w:rsidRDefault="002F5E4C" w:rsidP="001769C7">
      <w:pPr>
        <w:pStyle w:val="Heading2"/>
        <w:bidi/>
        <w:jc w:val="both"/>
        <w:rPr>
          <w:rFonts w:cs="B Titr"/>
          <w:sz w:val="24"/>
          <w:rtl/>
          <w:lang w:bidi="fa-IR"/>
        </w:rPr>
      </w:pPr>
      <w:bookmarkStart w:id="6" w:name="_Toc470522597"/>
      <w:r>
        <w:rPr>
          <w:rFonts w:cs="B Titr" w:hint="cs"/>
          <w:sz w:val="24"/>
          <w:rtl/>
          <w:lang w:bidi="fa-IR"/>
        </w:rPr>
        <w:t>5-</w:t>
      </w:r>
      <w:r w:rsidR="001769C7" w:rsidRPr="00EB1356">
        <w:rPr>
          <w:rFonts w:cs="B Titr" w:hint="cs"/>
          <w:sz w:val="24"/>
          <w:rtl/>
          <w:lang w:bidi="fa-IR"/>
        </w:rPr>
        <w:t>تکیه</w:t>
      </w:r>
      <w:r w:rsidR="001769C7" w:rsidRPr="00EB1356">
        <w:rPr>
          <w:rFonts w:cs="B Titr" w:hint="cs"/>
          <w:sz w:val="24"/>
          <w:lang w:bidi="fa-IR"/>
        </w:rPr>
        <w:t>‌</w:t>
      </w:r>
      <w:r w:rsidR="001769C7" w:rsidRPr="00EB1356">
        <w:rPr>
          <w:rFonts w:cs="B Titr" w:hint="cs"/>
          <w:sz w:val="24"/>
          <w:rtl/>
          <w:lang w:bidi="fa-IR"/>
        </w:rPr>
        <w:t>گاه</w:t>
      </w:r>
      <w:r w:rsidR="001769C7" w:rsidRPr="00EB1356">
        <w:rPr>
          <w:rFonts w:cs="B Titr" w:hint="cs"/>
          <w:sz w:val="24"/>
          <w:lang w:bidi="fa-IR"/>
        </w:rPr>
        <w:t>‌</w:t>
      </w:r>
      <w:r w:rsidR="001769C7" w:rsidRPr="00EB1356">
        <w:rPr>
          <w:rFonts w:cs="B Titr" w:hint="cs"/>
          <w:sz w:val="24"/>
          <w:rtl/>
          <w:lang w:bidi="fa-IR"/>
        </w:rPr>
        <w:t>سازی</w:t>
      </w:r>
      <w:bookmarkEnd w:id="6"/>
    </w:p>
    <w:p w14:paraId="23B1F377" w14:textId="77777777" w:rsidR="001769C7" w:rsidRPr="002F5E4C" w:rsidRDefault="001769C7" w:rsidP="002F5E4C">
      <w:pPr>
        <w:bidi/>
        <w:ind w:left="-2"/>
        <w:jc w:val="both"/>
        <w:rPr>
          <w:rFonts w:cs="B Mitra"/>
          <w:sz w:val="22"/>
          <w:szCs w:val="26"/>
          <w:rtl/>
        </w:rPr>
      </w:pPr>
      <w:r w:rsidRPr="002F5E4C">
        <w:rPr>
          <w:rFonts w:cs="B Mitra" w:hint="cs"/>
          <w:sz w:val="22"/>
          <w:szCs w:val="26"/>
          <w:rtl/>
        </w:rPr>
        <w:t xml:space="preserve">اکثر گیم ها دارای چندین مرحله هستند. بازیکن گیم را از مرحله ساده شروع کرده و به‌صورت تدریجی بر سختی و پیچیدگی مراحل اضافه می‌شود. حرکت از یک مرحله‌به‌مرحله بعدی نیازمند این است که مهارت بیشتری به کارگرفته شود تا مرحله مورد نظر با موفقیت به اتمام برسد. مفهوم «تکیه‌گاه‌سازی» در آموزش نیز شبیه این نوع حرکت می‌باشد. </w:t>
      </w:r>
    </w:p>
    <w:p w14:paraId="7CD5D519" w14:textId="77777777" w:rsidR="001769C7" w:rsidRPr="002F5E4C" w:rsidRDefault="001769C7" w:rsidP="002F5E4C">
      <w:pPr>
        <w:bidi/>
        <w:ind w:left="-2"/>
        <w:jc w:val="both"/>
        <w:rPr>
          <w:rFonts w:cs="B Mitra"/>
          <w:sz w:val="22"/>
          <w:szCs w:val="26"/>
          <w:rtl/>
        </w:rPr>
      </w:pPr>
      <w:r w:rsidRPr="002F5E4C">
        <w:rPr>
          <w:rFonts w:cs="B Mitra" w:hint="cs"/>
          <w:sz w:val="22"/>
          <w:szCs w:val="26"/>
          <w:rtl/>
        </w:rPr>
        <w:t>تکیه‌گاه‌سازی در یادگیری همراه با موضوع دیگری به نام «منطقه تقریبی رشد</w:t>
      </w:r>
      <w:r w:rsidRPr="002F5E4C">
        <w:rPr>
          <w:rFonts w:cs="B Mitra"/>
          <w:sz w:val="22"/>
          <w:szCs w:val="26"/>
          <w:rtl/>
        </w:rPr>
        <w:footnoteReference w:id="22"/>
      </w:r>
      <w:r w:rsidRPr="002F5E4C">
        <w:rPr>
          <w:rFonts w:cs="B Mitra" w:hint="cs"/>
          <w:sz w:val="22"/>
          <w:szCs w:val="26"/>
          <w:rtl/>
        </w:rPr>
        <w:t>» همراه است. ویگوتسکی بیان می‌کند «منطقه تقریبی رشد عبارت است از فاصله بین سطح عملکرد واقعی فرد که از طریق حل مساله به‌صورت مستقل مشخص می‌شود و سطح عملکرد بالقوه فرد که از طریق حل مساله با راهنمایی بزرگان یا همسالان توانمند مشخص می‌شود» ( ویگوتسکی، 1978). به عبارت دیگر یادگیرنده در شروع یادگیری موضوعی یا حل مساله ای، راهنمایی و کمک بیشتری ارائه می‌شود ولی هم‌زمان با اینکه تسلط یادگیرنده بر موضوع بیشتر می‌شود تدریجاً از میزان راهنمایی‌ها کاسته می‌شود تا در نهایت خود یادگیرنده به‌صورت مستقل مساله را می‌تواند حل کند.</w:t>
      </w:r>
    </w:p>
    <w:p w14:paraId="325D1B1E" w14:textId="77777777" w:rsidR="001769C7" w:rsidRPr="002F5E4C" w:rsidRDefault="001769C7" w:rsidP="002F5E4C">
      <w:pPr>
        <w:bidi/>
        <w:ind w:left="-2"/>
        <w:jc w:val="both"/>
        <w:rPr>
          <w:rFonts w:cs="B Mitra"/>
          <w:sz w:val="22"/>
          <w:szCs w:val="26"/>
          <w:rtl/>
        </w:rPr>
      </w:pPr>
      <w:r w:rsidRPr="002F5E4C">
        <w:rPr>
          <w:rFonts w:cs="B Mitra" w:hint="cs"/>
          <w:sz w:val="22"/>
          <w:szCs w:val="26"/>
          <w:rtl/>
        </w:rPr>
        <w:t>باتوجه به مطالب بیان شده، تکیه‌گاه‌سازی عبارت است از فرایند کنترل عناصر تکلیف یا مساله که در آغاز، فراتر از توانایی یادگیرنده است تا زمانی که یادگیرنده بتواند تکلیف یا مساله را خودش انجام دهد. زمانیکه تکلیفی انجام شد یادگیرنده به انجام تکلیف دیگری که بر پایه تکلیف قبلی ارائه شده است هدایت می‌شود. بنابراین تکیه‌گاه‌سازی نوعی پشتیبانی یادگیری است که بدون آن یادگیری امکان‌پذیر نخواهد بود ( گردلر</w:t>
      </w:r>
      <w:r w:rsidRPr="002F5E4C">
        <w:rPr>
          <w:rFonts w:cs="B Mitra"/>
          <w:sz w:val="22"/>
          <w:szCs w:val="26"/>
          <w:rtl/>
        </w:rPr>
        <w:footnoteReference w:id="23"/>
      </w:r>
      <w:r w:rsidRPr="002F5E4C">
        <w:rPr>
          <w:rFonts w:cs="B Mitra" w:hint="cs"/>
          <w:sz w:val="22"/>
          <w:szCs w:val="26"/>
          <w:rtl/>
        </w:rPr>
        <w:t>، 1997).</w:t>
      </w:r>
    </w:p>
    <w:p w14:paraId="38E60B44" w14:textId="77777777" w:rsidR="001769C7" w:rsidRPr="002F5E4C" w:rsidRDefault="001769C7" w:rsidP="002F5E4C">
      <w:pPr>
        <w:bidi/>
        <w:ind w:left="-2"/>
        <w:jc w:val="both"/>
        <w:rPr>
          <w:rFonts w:cs="B Mitra"/>
          <w:sz w:val="22"/>
          <w:szCs w:val="26"/>
          <w:rtl/>
        </w:rPr>
      </w:pPr>
      <w:r w:rsidRPr="002F5E4C">
        <w:rPr>
          <w:rFonts w:cs="B Mitra" w:hint="cs"/>
          <w:sz w:val="22"/>
          <w:szCs w:val="26"/>
          <w:rtl/>
        </w:rPr>
        <w:t>تکنیک تکیه‌گاه‌سازی و استفاده از مراحل، زمینه آموزشی شدن بازی‌های دیجیتال را فراهم می‌کند. همچنین این تکنیک در مواردی که بازیکن می‌خواهد از مرحله‌ای به مرحله بعدی تا رسیدن به مرحله نهائی بازی حرکت کرده و پیشرفت کند علاقه و انگیزه وی را برای انجام بازی، نگه می‌دارد. در بازی‌های دیجیتال، مراحل بازی رفته‌رفته دشوارتر می‌شوند و تجارب و</w:t>
      </w:r>
      <w:r w:rsidRPr="002F5E4C">
        <w:rPr>
          <w:rFonts w:cs="B Mitra"/>
          <w:sz w:val="22"/>
          <w:szCs w:val="26"/>
          <w:rtl/>
        </w:rPr>
        <w:t xml:space="preserve"> </w:t>
      </w:r>
      <w:r w:rsidRPr="002F5E4C">
        <w:rPr>
          <w:rFonts w:cs="B Mitra" w:hint="cs"/>
          <w:sz w:val="22"/>
          <w:szCs w:val="26"/>
          <w:rtl/>
        </w:rPr>
        <w:t>مهارتی که آن‌ها در مرحله نهائی دارند، بدون انجام مراحل قبلی بازی، نمی‌توانستند آن‌ها را کسب کنند.</w:t>
      </w:r>
    </w:p>
    <w:p w14:paraId="6C4B0079" w14:textId="77777777" w:rsidR="001769C7" w:rsidRPr="002F5E4C" w:rsidRDefault="001769C7" w:rsidP="002F5E4C">
      <w:pPr>
        <w:bidi/>
        <w:ind w:left="-2"/>
        <w:jc w:val="both"/>
        <w:rPr>
          <w:rFonts w:cs="B Mitra"/>
          <w:sz w:val="22"/>
          <w:szCs w:val="26"/>
          <w:rtl/>
        </w:rPr>
      </w:pPr>
      <w:r w:rsidRPr="002F5E4C">
        <w:rPr>
          <w:rFonts w:cs="B Mitra" w:hint="cs"/>
          <w:sz w:val="22"/>
          <w:szCs w:val="26"/>
          <w:rtl/>
        </w:rPr>
        <w:t>«نمایش پیشرفته</w:t>
      </w:r>
      <w:r w:rsidRPr="002F5E4C">
        <w:rPr>
          <w:rFonts w:cs="B Mitra"/>
          <w:sz w:val="22"/>
          <w:szCs w:val="26"/>
          <w:rtl/>
        </w:rPr>
        <w:footnoteReference w:id="24"/>
      </w:r>
      <w:r w:rsidRPr="002F5E4C">
        <w:rPr>
          <w:rFonts w:cs="B Mitra" w:hint="cs"/>
          <w:sz w:val="22"/>
          <w:szCs w:val="26"/>
          <w:rtl/>
        </w:rPr>
        <w:t xml:space="preserve">» یا نمایش بر اساس میزان پیشرفت مفهوم دیگری در بازی‌های دیجیتال است که به مفهوم تکیه‌گاه‌سازی در یادگیری مرتبط می‌باشد. در بازی‌های دیجیتال، اطلاعاتی در قطعات کوچک، در مواردی نمایش داده می‌شود. البته نمایش اطلاعات به‌گونه‌ای نیست که اطلاعات تمام صفحه نمایشی را دربرگیرد و بازیکن در بین اطلاعات ارائه شده غرق شود. بلکه هر موقعی که بازیکن بخواهد و با میزان اطلاعات راحت باشد برای او ارائه می‌شود. این نوع ارائه اطلاعات را می‌توان در بازی </w:t>
      </w:r>
      <w:r w:rsidRPr="002F5E4C">
        <w:rPr>
          <w:rFonts w:cs="B Mitra"/>
          <w:sz w:val="22"/>
          <w:szCs w:val="26"/>
        </w:rPr>
        <w:t>World of Warcraft</w:t>
      </w:r>
      <w:r w:rsidRPr="002F5E4C">
        <w:rPr>
          <w:rFonts w:cs="B Mitra" w:hint="cs"/>
          <w:sz w:val="22"/>
          <w:szCs w:val="26"/>
          <w:rtl/>
        </w:rPr>
        <w:t xml:space="preserve"> مشاهده کرد.  بازیکن با مهارت کم واسط کاربری ساده‌ای دارد ولی بازیکن ماهر واسط کاربری پیچیده‌ای دارد. </w:t>
      </w:r>
    </w:p>
    <w:p w14:paraId="145E1AD2" w14:textId="31CD5B72" w:rsidR="001769C7" w:rsidRPr="00EB1356" w:rsidRDefault="002F5E4C" w:rsidP="001769C7">
      <w:pPr>
        <w:pStyle w:val="Heading2"/>
        <w:bidi/>
        <w:jc w:val="both"/>
        <w:rPr>
          <w:rFonts w:cs="B Lotus"/>
          <w:sz w:val="28"/>
          <w:szCs w:val="28"/>
          <w:rtl/>
          <w:lang w:bidi="fa-IR"/>
        </w:rPr>
      </w:pPr>
      <w:bookmarkStart w:id="7" w:name="_Toc470522598"/>
      <w:r>
        <w:rPr>
          <w:rFonts w:cs="B Titr" w:hint="cs"/>
          <w:sz w:val="24"/>
          <w:rtl/>
          <w:lang w:bidi="fa-IR"/>
        </w:rPr>
        <w:t>6-</w:t>
      </w:r>
      <w:r w:rsidR="001769C7" w:rsidRPr="00EB1356">
        <w:rPr>
          <w:rFonts w:cs="B Titr" w:hint="cs"/>
          <w:sz w:val="24"/>
          <w:rtl/>
          <w:lang w:bidi="fa-IR"/>
        </w:rPr>
        <w:t>کارآموزی</w:t>
      </w:r>
      <w:r w:rsidR="001769C7" w:rsidRPr="00EB1356">
        <w:rPr>
          <w:rFonts w:cs="B Titr"/>
          <w:sz w:val="24"/>
          <w:rtl/>
          <w:lang w:bidi="fa-IR"/>
        </w:rPr>
        <w:t xml:space="preserve"> </w:t>
      </w:r>
      <w:r w:rsidR="001769C7" w:rsidRPr="00EB1356">
        <w:rPr>
          <w:rFonts w:cs="B Titr" w:hint="cs"/>
          <w:sz w:val="24"/>
          <w:rtl/>
          <w:lang w:bidi="fa-IR"/>
        </w:rPr>
        <w:t>شناختی</w:t>
      </w:r>
      <w:r w:rsidR="001769C7" w:rsidRPr="00EB1356">
        <w:rPr>
          <w:rStyle w:val="FootnoteReference"/>
          <w:rFonts w:cs="B Lotus"/>
          <w:sz w:val="28"/>
          <w:szCs w:val="28"/>
          <w:rtl/>
          <w:lang w:bidi="fa-IR"/>
        </w:rPr>
        <w:footnoteReference w:id="25"/>
      </w:r>
      <w:bookmarkEnd w:id="7"/>
    </w:p>
    <w:p w14:paraId="79379D50" w14:textId="77777777" w:rsidR="001769C7" w:rsidRPr="002F5E4C" w:rsidRDefault="001769C7" w:rsidP="002F5E4C">
      <w:pPr>
        <w:bidi/>
        <w:ind w:left="-2"/>
        <w:jc w:val="both"/>
        <w:rPr>
          <w:rFonts w:cs="B Mitra"/>
          <w:sz w:val="22"/>
          <w:szCs w:val="26"/>
          <w:rtl/>
        </w:rPr>
      </w:pPr>
      <w:r w:rsidRPr="002F5E4C">
        <w:rPr>
          <w:rFonts w:cs="B Mitra" w:hint="cs"/>
          <w:sz w:val="22"/>
          <w:szCs w:val="26"/>
          <w:rtl/>
        </w:rPr>
        <w:t xml:space="preserve">علوم شناختی، تأثیر قابل توجهی بر عقاید و باورهای مربوط به آموزش و یادگیری داشته‌اند (رضوی، 1387). دانش و مهارت به موقعیت و همچنین به زمینه خاص وابسته است (پرکینز و سالومون، 1989). بنابراین بهترین روش آموزشی آن است که اولاً </w:t>
      </w:r>
      <w:r w:rsidRPr="002F5E4C">
        <w:rPr>
          <w:rFonts w:cs="B Mitra" w:hint="cs"/>
          <w:sz w:val="22"/>
          <w:szCs w:val="26"/>
          <w:rtl/>
        </w:rPr>
        <w:lastRenderedPageBreak/>
        <w:t>دانش و مهارت را به‌گونه‌ای واقع‌گرایانه‌تر به یادگیرنده عرضه دارد؛ یعنی دانش، مهارت و فعالیت‌های یادگیری مربوط به آن‌ها از زندگی واقعی یادگیرنده نشات گرفته‌شده باشد و ثانیاً فرصتی را برای یادگیرندگان فراهم کند تا دانش و مهارت‌های آموخته شده را در موقعیت‌های واقعی به کار بگیرند. راهبرد آموزشی «کارآموزی شناختی» یکی از این روش‌هاست که به مربیان کمک می‌کند راهبردها و فعالیت‌های لازم برای حل مساله را به یادگیرندگان نشان دهند و با ارائه راهنمایی‌ها در مواقع نیاز، از کوشش و تلاش یادگیرندگان حمایت کنند.</w:t>
      </w:r>
    </w:p>
    <w:p w14:paraId="659AFAA6" w14:textId="77777777" w:rsidR="001769C7" w:rsidRPr="002F5E4C" w:rsidRDefault="001769C7" w:rsidP="002F5E4C">
      <w:pPr>
        <w:bidi/>
        <w:ind w:left="-2"/>
        <w:jc w:val="both"/>
        <w:rPr>
          <w:rFonts w:cs="B Mitra"/>
          <w:sz w:val="22"/>
          <w:szCs w:val="26"/>
          <w:rtl/>
        </w:rPr>
      </w:pPr>
      <w:r w:rsidRPr="002F5E4C">
        <w:rPr>
          <w:rFonts w:cs="B Mitra" w:hint="cs"/>
          <w:sz w:val="22"/>
          <w:szCs w:val="26"/>
          <w:rtl/>
        </w:rPr>
        <w:t>بسیاری از بازی‌های دیجیتال به‌صورت فانتزی و شبیه‌سازی شده طراحی می‌شوند. یعنی زمانیکه بازیکنی وارد محیط بازی می‌شود این محیط و فعالیت‌هایی که در آن انجام می‌دهد، شبیه محیط پیرامون خود و فعالیت‌هایی که در آن محیط انجام می‌دهد هستند. برای نمونه در بازی فیفا، زمین، قواعد، دروازه‌ها، بازیکنان، داوران، تعداد بازیکنان تیم‌ها و ... دقیقاً شبیه بازی‌های فوتبال در دنیای واقعی هستند و فردی که برای اولین بار این بازی شبیه‌سازی شده را انجام می‌دهد لازم نیست کسی به وی به‌صورت شفاهی توضیح دهد که کارت زرد چه معنایی دارد، کارت قرمز، چه معنایی دارد، برنده شدن یعنی چه، خطای دست چه مواقعی اتفاق می‌افتد، آفساید در چه مواقعی رخ می‌دهد. همه این قواعد را خود بازیکن با انجام و تکرار بازی یاد خواهد گرفت به عبارتی خود بازی شبیه‌سازی شده دنیای واقعی، مربی‌گری می‌کند برای نمونه وقتی توپ به دست بازیکن برخورد می‌کند بازی متوقف شده و تملک توپ عوض می‌شود و بازیکن یاد می‌گیرد که خطایی را انجام داده است. بسیاری از بازی‌های دیگری ازجمله بازی‌های موتور سواری یا اتومبیل‌رانی نیز چنین حالتی دارند که تحقیقات هم نشان می‌دهند مهارت‌هایی که بازیکنان در بازی‌هایی مثل بازی‌های اتومبیلی کسب می‌کنند، ازجمله مهارت پارک کردن، این مهارت کسب شده به موقعیت واقعی پارک ماشین انتقال می‌یابد. دلیل این انتقال یادگیری، تشابه موقعیت یادگیری با موقعیت کاربردی مهارت یاد گرفته‌شده است که نظریه انتقال یادگیری ثراندایک</w:t>
      </w:r>
      <w:r w:rsidRPr="002F5E4C">
        <w:rPr>
          <w:rFonts w:cs="B Mitra"/>
          <w:sz w:val="22"/>
          <w:szCs w:val="26"/>
          <w:rtl/>
        </w:rPr>
        <w:footnoteReference w:id="26"/>
      </w:r>
      <w:r w:rsidRPr="002F5E4C">
        <w:rPr>
          <w:rFonts w:cs="B Mitra" w:hint="cs"/>
          <w:sz w:val="22"/>
          <w:szCs w:val="26"/>
          <w:rtl/>
        </w:rPr>
        <w:t xml:space="preserve"> بیانگر این موضوع است.</w:t>
      </w:r>
    </w:p>
    <w:p w14:paraId="058EA46D" w14:textId="630DD742" w:rsidR="001769C7" w:rsidRDefault="002F5E4C" w:rsidP="001769C7">
      <w:pPr>
        <w:pStyle w:val="Heading2"/>
        <w:bidi/>
        <w:jc w:val="both"/>
        <w:rPr>
          <w:rFonts w:cs="B Lotus"/>
          <w:sz w:val="28"/>
          <w:szCs w:val="28"/>
          <w:rtl/>
          <w:lang w:bidi="fa-IR"/>
        </w:rPr>
      </w:pPr>
      <w:bookmarkStart w:id="8" w:name="_Toc470522599"/>
      <w:r>
        <w:rPr>
          <w:rFonts w:cs="B Titr" w:hint="cs"/>
          <w:sz w:val="24"/>
          <w:rtl/>
          <w:lang w:bidi="fa-IR"/>
        </w:rPr>
        <w:t>7-</w:t>
      </w:r>
      <w:r w:rsidR="001769C7" w:rsidRPr="00EB1356">
        <w:rPr>
          <w:rFonts w:cs="B Titr" w:hint="cs"/>
          <w:sz w:val="24"/>
          <w:rtl/>
          <w:lang w:bidi="fa-IR"/>
        </w:rPr>
        <w:t>نظریه</w:t>
      </w:r>
      <w:r w:rsidR="001769C7" w:rsidRPr="00EB1356">
        <w:rPr>
          <w:rFonts w:cs="B Titr"/>
          <w:sz w:val="24"/>
          <w:rtl/>
          <w:lang w:bidi="fa-IR"/>
        </w:rPr>
        <w:t xml:space="preserve"> </w:t>
      </w:r>
      <w:r w:rsidR="001769C7" w:rsidRPr="00EB1356">
        <w:rPr>
          <w:rFonts w:cs="B Titr" w:hint="cs"/>
          <w:sz w:val="24"/>
          <w:rtl/>
          <w:lang w:bidi="fa-IR"/>
        </w:rPr>
        <w:t>یادگیری</w:t>
      </w:r>
      <w:r w:rsidR="001769C7" w:rsidRPr="00EB1356">
        <w:rPr>
          <w:rFonts w:cs="B Titr"/>
          <w:sz w:val="24"/>
          <w:rtl/>
          <w:lang w:bidi="fa-IR"/>
        </w:rPr>
        <w:t xml:space="preserve"> </w:t>
      </w:r>
      <w:r w:rsidR="001769C7" w:rsidRPr="00EB1356">
        <w:rPr>
          <w:rFonts w:cs="B Titr" w:hint="cs"/>
          <w:sz w:val="24"/>
          <w:rtl/>
          <w:lang w:bidi="fa-IR"/>
        </w:rPr>
        <w:t>اجتماعی</w:t>
      </w:r>
      <w:r w:rsidR="001769C7" w:rsidRPr="00EB1356">
        <w:rPr>
          <w:rStyle w:val="FootnoteReference"/>
          <w:rFonts w:cs="B Lotus"/>
          <w:sz w:val="28"/>
          <w:szCs w:val="28"/>
          <w:rtl/>
          <w:lang w:bidi="fa-IR"/>
        </w:rPr>
        <w:footnoteReference w:id="27"/>
      </w:r>
      <w:bookmarkEnd w:id="8"/>
    </w:p>
    <w:p w14:paraId="4C468F36" w14:textId="77777777" w:rsidR="001769C7" w:rsidRPr="002F5E4C" w:rsidRDefault="001769C7" w:rsidP="002F5E4C">
      <w:pPr>
        <w:bidi/>
        <w:ind w:left="-2"/>
        <w:jc w:val="both"/>
        <w:rPr>
          <w:rFonts w:cs="B Mitra"/>
          <w:sz w:val="22"/>
          <w:szCs w:val="26"/>
          <w:rtl/>
        </w:rPr>
      </w:pPr>
      <w:r w:rsidRPr="002F5E4C">
        <w:rPr>
          <w:rFonts w:cs="B Mitra" w:hint="cs"/>
          <w:sz w:val="22"/>
          <w:szCs w:val="26"/>
          <w:rtl/>
        </w:rPr>
        <w:t xml:space="preserve">این نظریه را بندورا در دهه 1970 مطرح کرد و بیانگر این است که در یک زمینه اجتماعی افراد از طریق مشاهده از همدیگر یاد می‌گیرند. بنابراین مشاهده موجب یادگیری رفتار می‌شود. تحقیقات زیادی بر پایه این نظریه انجام شده و آن را تائید کرده‌اند. برای نمونه، بندورا و همکارانش، تقلید رفتار پرخاشگرانه را با نمایش فیلم برای بچه‌ها مورد آزمایش قرار دادند. برای گروهی از کودکان فیلمی نمایش داده شد که طی آن رفتار پرخاشگرانه کودکی که اسباب‌بازی‌های کودک دیگر را تصاحب می‌کرد به پاداش یا پیامد مطلوب ( تصاحب) منجر می‌گردید. این گروه با گروه گواه مشابه خود مقایسه شد. برای گروه دیگری از بچه‌ها فیلمی نمایش داده شد که به تنبیه رفتار کودک متجاوز و پرخاشگر منجر گردید. نتیجه حاصله نشان داد که کودکان گروه اول نسبت به کودکان سایر گروه‌ها (گروه گواه و گروه آزمایش دوم) پرخاشگری تقلیدی بیشتری نشان دادند (ثنایی،1380 ) یعنی رفتاری که با نتیجه یا پیامد مطلوبی همراه است بیشتر مورد تقلید قرار می‌گیرد. چنانکه در پاراگراف بعدی در بیان مزیت‌های الگودهی محیط‌های بازی‌های دیجیتال توضیح داده می‌شود این بازی‌ها به‌طور هم‌زمان می‌توانند الگودهی کنند، فرصت تمرین رفتار را فراهم کنند و رفتار مورد نظر را تقویت کنند. </w:t>
      </w:r>
    </w:p>
    <w:p w14:paraId="49F0EB80" w14:textId="77777777" w:rsidR="001769C7" w:rsidRPr="002F5E4C" w:rsidRDefault="001769C7" w:rsidP="002F5E4C">
      <w:pPr>
        <w:bidi/>
        <w:ind w:left="-2"/>
        <w:jc w:val="both"/>
        <w:rPr>
          <w:rFonts w:cs="B Mitra"/>
          <w:sz w:val="22"/>
          <w:szCs w:val="26"/>
          <w:rtl/>
        </w:rPr>
      </w:pPr>
      <w:r w:rsidRPr="002F5E4C">
        <w:rPr>
          <w:rFonts w:cs="B Mitra" w:hint="cs"/>
          <w:sz w:val="22"/>
          <w:szCs w:val="26"/>
          <w:rtl/>
        </w:rPr>
        <w:lastRenderedPageBreak/>
        <w:t xml:space="preserve"> همچنین شواهد علمی بیانگر این است که عامل‌های انسانی</w:t>
      </w:r>
      <w:r w:rsidRPr="002F5E4C">
        <w:rPr>
          <w:rFonts w:cs="B Mitra"/>
          <w:sz w:val="22"/>
          <w:szCs w:val="26"/>
          <w:rtl/>
        </w:rPr>
        <w:footnoteReference w:id="28"/>
      </w:r>
      <w:r w:rsidRPr="002F5E4C">
        <w:rPr>
          <w:rFonts w:cs="B Mitra" w:hint="cs"/>
          <w:sz w:val="22"/>
          <w:szCs w:val="26"/>
          <w:rtl/>
        </w:rPr>
        <w:t xml:space="preserve"> ( آواتارها) مثل کارتون‌ها یا آواتارهایی که در بازی‌ها شبیه‌سازی شده هستند می‌توانند کارکردی مثل الگوهای انسانی داشته باشند. به‌کارگیری الگوهای مجازی برای ارائه و نمایش دادن رفتارهای مورد نظر می‌تواند جهت انتقال آن رفتار به یادگیرندگان می‌تواند اثربخش باشد (کاپ، 2012).</w:t>
      </w:r>
    </w:p>
    <w:p w14:paraId="3A876205" w14:textId="77777777" w:rsidR="001769C7" w:rsidRPr="002F5E4C" w:rsidRDefault="001769C7" w:rsidP="002F5E4C">
      <w:pPr>
        <w:bidi/>
        <w:ind w:left="-2"/>
        <w:jc w:val="both"/>
        <w:rPr>
          <w:rFonts w:cs="B Mitra"/>
          <w:sz w:val="22"/>
          <w:szCs w:val="26"/>
          <w:rtl/>
        </w:rPr>
      </w:pPr>
      <w:r w:rsidRPr="002F5E4C">
        <w:rPr>
          <w:rFonts w:cs="B Mitra" w:hint="cs"/>
          <w:sz w:val="22"/>
          <w:szCs w:val="26"/>
          <w:rtl/>
        </w:rPr>
        <w:t>از نظر کاپ (2012) عامل‌های انسانی و آواتارهایی که در بازی‌های دیجیتال به کارگرفته می‌شوند به عنوان الگو، می‌توانند موجب یادگیری رفتارهای مورد نظر باشند. استفاده از عامل‌های انسانی یا آواتارها به عنوان الگوهای اجتماعی در بازی‌های دیجیتال چندین مزیت مهم به همراه دارد. 1. الگوی اجتماعی در هر زمان و هر جایی که بازیکن مشغول بازی باشد در دسترس و همراه وی می‌باشد. 2. الگوی اجتماعی در زمینه‌هایی که بازیکنان دوست دارند در دسترس آن‌هاست برعکس فضاهای کلاسی که علاقه زیادی به آن‌ها ندارند. 3. بازی‌های دیجیتال زمینه‌های بسیار متنوعی برای ارائه رفتار الگوی اجتماعی فراهم می‌کند. 4. رفتار الگوی مورد نظر در بازی‌های دیجیتال، بدلیل تکرارپذیر بودن بازی‌ها چندین و چند بار می‌تواند تکرار شود. 5. بازی‌های دیجیتال فرصت‌هایی را فراهم می‌کنند که بازیکنان رفتارهای مشاهده شده را در محیط‌های امن تمرین کرده و انجام دهند. بنابراین بازی‌های دیجیتال فرصت‌های بسیار خوبی را برای یادگیری فراهم می‌کنند. بازی‌های دیجیتال به‌طور هم‌زمان بازیکن را در معرض الگو قرار می‌دهند، فرصت تکرار رفتار و انجام دادن آن را فراهم می‌کنند، رفتار اجتماعی مورد نظر را تقویت می‌کنند (باکلی و اندرسون</w:t>
      </w:r>
      <w:r w:rsidRPr="002F5E4C">
        <w:rPr>
          <w:rFonts w:cs="B Mitra"/>
          <w:sz w:val="22"/>
          <w:szCs w:val="26"/>
          <w:rtl/>
        </w:rPr>
        <w:footnoteReference w:id="29"/>
      </w:r>
      <w:r w:rsidRPr="002F5E4C">
        <w:rPr>
          <w:rFonts w:cs="B Mitra" w:hint="cs"/>
          <w:sz w:val="22"/>
          <w:szCs w:val="26"/>
          <w:rtl/>
        </w:rPr>
        <w:t xml:space="preserve">، 2006). </w:t>
      </w:r>
    </w:p>
    <w:p w14:paraId="76C82F75" w14:textId="19E93EE6" w:rsidR="001769C7" w:rsidRPr="00EB1356" w:rsidRDefault="002F5E4C" w:rsidP="001769C7">
      <w:pPr>
        <w:pStyle w:val="Heading2"/>
        <w:bidi/>
        <w:jc w:val="both"/>
        <w:rPr>
          <w:rFonts w:cs="B Lotus"/>
          <w:sz w:val="28"/>
          <w:szCs w:val="28"/>
          <w:rtl/>
          <w:lang w:bidi="fa-IR"/>
        </w:rPr>
      </w:pPr>
      <w:bookmarkStart w:id="9" w:name="_Toc470522600"/>
      <w:r>
        <w:rPr>
          <w:rFonts w:cs="B Titr" w:hint="cs"/>
          <w:sz w:val="24"/>
          <w:rtl/>
          <w:lang w:bidi="fa-IR"/>
        </w:rPr>
        <w:t>7-</w:t>
      </w:r>
      <w:r w:rsidR="001769C7" w:rsidRPr="00EB1356">
        <w:rPr>
          <w:rFonts w:cs="B Titr" w:hint="cs"/>
          <w:sz w:val="24"/>
          <w:rtl/>
          <w:lang w:bidi="fa-IR"/>
        </w:rPr>
        <w:t>ساختن</w:t>
      </w:r>
      <w:r w:rsidR="001769C7" w:rsidRPr="00EB1356">
        <w:rPr>
          <w:rFonts w:cs="B Titr"/>
          <w:sz w:val="24"/>
          <w:rtl/>
          <w:lang w:bidi="fa-IR"/>
        </w:rPr>
        <w:t xml:space="preserve"> </w:t>
      </w:r>
      <w:r w:rsidR="001769C7" w:rsidRPr="00EB1356">
        <w:rPr>
          <w:rFonts w:cs="B Titr" w:hint="cs"/>
          <w:sz w:val="24"/>
          <w:rtl/>
          <w:lang w:bidi="fa-IR"/>
        </w:rPr>
        <w:t>گرایی</w:t>
      </w:r>
      <w:r w:rsidR="001769C7" w:rsidRPr="00EB1356">
        <w:rPr>
          <w:rStyle w:val="FootnoteReference"/>
          <w:rFonts w:cs="B Lotus"/>
          <w:sz w:val="28"/>
          <w:szCs w:val="28"/>
          <w:rtl/>
          <w:lang w:bidi="fa-IR"/>
        </w:rPr>
        <w:footnoteReference w:id="30"/>
      </w:r>
      <w:bookmarkEnd w:id="9"/>
    </w:p>
    <w:p w14:paraId="78D18CF1" w14:textId="77777777" w:rsidR="001769C7" w:rsidRPr="002F5E4C" w:rsidRDefault="001769C7" w:rsidP="002F5E4C">
      <w:pPr>
        <w:bidi/>
        <w:ind w:left="-2"/>
        <w:jc w:val="both"/>
        <w:rPr>
          <w:rFonts w:cs="B Mitra"/>
          <w:sz w:val="22"/>
          <w:szCs w:val="26"/>
          <w:rtl/>
        </w:rPr>
      </w:pPr>
      <w:r w:rsidRPr="002F5E4C">
        <w:rPr>
          <w:rFonts w:cs="B Mitra" w:hint="cs"/>
          <w:sz w:val="22"/>
          <w:szCs w:val="26"/>
          <w:rtl/>
        </w:rPr>
        <w:t>مبانی نظریه یادگیری ساختن‌ گرایی این است که تکنولوژی‌های نوین می‌توانند و باید برای فعال، سازنده، مشارکت و هدف‌دار بودن یادگیرندگان و همچنین برای پیچیده بودن، زمینه‌ای بودن، اجتماعی و بحثی بودن یادگیری و تفکر کردن یادگیرندگان مورد استفاده قرار گیرند (دافی و جاناسن</w:t>
      </w:r>
      <w:r w:rsidRPr="002F5E4C">
        <w:rPr>
          <w:rFonts w:cs="B Mitra"/>
          <w:sz w:val="22"/>
          <w:szCs w:val="26"/>
          <w:rtl/>
        </w:rPr>
        <w:footnoteReference w:id="31"/>
      </w:r>
      <w:r w:rsidRPr="002F5E4C">
        <w:rPr>
          <w:rFonts w:cs="B Mitra" w:hint="cs"/>
          <w:sz w:val="22"/>
          <w:szCs w:val="26"/>
          <w:rtl/>
        </w:rPr>
        <w:t xml:space="preserve">، 1993). بسیاری از پژوهشگران حیطه یادگیری و گیم های دیجیتال بیان می‌کنند که اکثر محیط‌های گیم های دیجیتال، محیط‌های ساختن گرایی هستند. ویژگی‌های محیط‌های ساختن گرایی که ذکر شدند در پاراگراف‌های بعدی توضیح داده‌شده و بازی </w:t>
      </w:r>
      <w:r w:rsidRPr="002F5E4C">
        <w:rPr>
          <w:rFonts w:cs="B Mitra"/>
          <w:sz w:val="22"/>
          <w:szCs w:val="26"/>
        </w:rPr>
        <w:t>Super Mario Bros</w:t>
      </w:r>
      <w:r w:rsidRPr="002F5E4C">
        <w:rPr>
          <w:rFonts w:cs="B Mitra" w:hint="cs"/>
          <w:sz w:val="22"/>
          <w:szCs w:val="26"/>
          <w:rtl/>
        </w:rPr>
        <w:t xml:space="preserve"> از منظر ساختن گرایی مورد بررسی قرار می‌گیرد.</w:t>
      </w:r>
      <w:r w:rsidRPr="002F5E4C" w:rsidDel="00E3027D">
        <w:rPr>
          <w:rFonts w:cs="B Mitra"/>
          <w:sz w:val="22"/>
          <w:szCs w:val="26"/>
          <w:rtl/>
        </w:rPr>
        <w:t xml:space="preserve"> </w:t>
      </w:r>
    </w:p>
    <w:p w14:paraId="1A18FA0E" w14:textId="77777777" w:rsidR="001769C7" w:rsidRPr="002F5E4C" w:rsidRDefault="001769C7" w:rsidP="001769C7">
      <w:pPr>
        <w:pStyle w:val="Heading3"/>
        <w:bidi/>
        <w:jc w:val="both"/>
        <w:rPr>
          <w:rFonts w:cs="B Lotus"/>
          <w:sz w:val="24"/>
          <w:szCs w:val="24"/>
          <w:rtl/>
          <w:lang w:bidi="fa-IR"/>
        </w:rPr>
      </w:pPr>
      <w:bookmarkStart w:id="10" w:name="_Toc470522601"/>
      <w:r w:rsidRPr="002F5E4C">
        <w:rPr>
          <w:rFonts w:cs="B Lotus"/>
          <w:sz w:val="24"/>
          <w:szCs w:val="24"/>
          <w:lang w:bidi="fa-IR"/>
        </w:rPr>
        <w:t>Super Mario Bros</w:t>
      </w:r>
      <w:r w:rsidRPr="002F5E4C">
        <w:rPr>
          <w:rFonts w:cs="B Lotus"/>
          <w:sz w:val="24"/>
          <w:szCs w:val="24"/>
          <w:rtl/>
          <w:lang w:bidi="fa-IR"/>
        </w:rPr>
        <w:t xml:space="preserve"> </w:t>
      </w:r>
      <w:r w:rsidRPr="002F5E4C">
        <w:rPr>
          <w:rFonts w:cs="B Lotus" w:hint="cs"/>
          <w:sz w:val="24"/>
          <w:szCs w:val="24"/>
          <w:rtl/>
          <w:lang w:bidi="fa-IR"/>
        </w:rPr>
        <w:t>به</w:t>
      </w:r>
      <w:r w:rsidRPr="002F5E4C">
        <w:rPr>
          <w:rFonts w:cs="B Lotus"/>
          <w:sz w:val="24"/>
          <w:szCs w:val="24"/>
          <w:rtl/>
          <w:lang w:bidi="fa-IR"/>
        </w:rPr>
        <w:t xml:space="preserve"> </w:t>
      </w:r>
      <w:r w:rsidRPr="002F5E4C">
        <w:rPr>
          <w:rFonts w:cs="B Lotus" w:hint="eastAsia"/>
          <w:sz w:val="24"/>
          <w:szCs w:val="24"/>
          <w:rtl/>
          <w:lang w:bidi="fa-IR"/>
        </w:rPr>
        <w:t>عنوان</w:t>
      </w:r>
      <w:r w:rsidRPr="002F5E4C">
        <w:rPr>
          <w:rFonts w:cs="B Lotus"/>
          <w:sz w:val="24"/>
          <w:szCs w:val="24"/>
          <w:rtl/>
          <w:lang w:bidi="fa-IR"/>
        </w:rPr>
        <w:t xml:space="preserve"> </w:t>
      </w:r>
      <w:r w:rsidRPr="002F5E4C">
        <w:rPr>
          <w:rFonts w:cs="B Lotus" w:hint="cs"/>
          <w:sz w:val="24"/>
          <w:szCs w:val="24"/>
          <w:rtl/>
          <w:lang w:bidi="fa-IR"/>
        </w:rPr>
        <w:t>محیط</w:t>
      </w:r>
      <w:r w:rsidRPr="002F5E4C">
        <w:rPr>
          <w:rFonts w:cs="B Lotus"/>
          <w:sz w:val="24"/>
          <w:szCs w:val="24"/>
          <w:rtl/>
          <w:lang w:bidi="fa-IR"/>
        </w:rPr>
        <w:t xml:space="preserve"> </w:t>
      </w:r>
      <w:r w:rsidRPr="002F5E4C">
        <w:rPr>
          <w:rFonts w:cs="B Lotus" w:hint="cs"/>
          <w:sz w:val="24"/>
          <w:szCs w:val="24"/>
          <w:rtl/>
          <w:lang w:bidi="fa-IR"/>
        </w:rPr>
        <w:t>یادگیری</w:t>
      </w:r>
      <w:r w:rsidRPr="002F5E4C">
        <w:rPr>
          <w:rFonts w:cs="B Lotus"/>
          <w:sz w:val="24"/>
          <w:szCs w:val="24"/>
          <w:rtl/>
          <w:lang w:bidi="fa-IR"/>
        </w:rPr>
        <w:t xml:space="preserve"> </w:t>
      </w:r>
      <w:r w:rsidRPr="002F5E4C">
        <w:rPr>
          <w:rFonts w:cs="B Lotus" w:hint="cs"/>
          <w:sz w:val="24"/>
          <w:szCs w:val="24"/>
          <w:rtl/>
          <w:lang w:bidi="fa-IR"/>
        </w:rPr>
        <w:t>ساختن</w:t>
      </w:r>
      <w:r w:rsidRPr="002F5E4C">
        <w:rPr>
          <w:rFonts w:cs="B Lotus"/>
          <w:sz w:val="24"/>
          <w:szCs w:val="24"/>
          <w:rtl/>
          <w:lang w:bidi="fa-IR"/>
        </w:rPr>
        <w:t xml:space="preserve"> </w:t>
      </w:r>
      <w:r w:rsidRPr="002F5E4C">
        <w:rPr>
          <w:rFonts w:cs="B Lotus" w:hint="cs"/>
          <w:sz w:val="24"/>
          <w:szCs w:val="24"/>
          <w:rtl/>
          <w:lang w:bidi="fa-IR"/>
        </w:rPr>
        <w:t>گرایی</w:t>
      </w:r>
      <w:bookmarkEnd w:id="10"/>
    </w:p>
    <w:p w14:paraId="4B3DB258" w14:textId="77777777" w:rsidR="001769C7" w:rsidRPr="002F5E4C" w:rsidRDefault="001769C7" w:rsidP="002F5E4C">
      <w:pPr>
        <w:bidi/>
        <w:ind w:left="-2"/>
        <w:jc w:val="both"/>
        <w:rPr>
          <w:rFonts w:cs="B Mitra"/>
          <w:sz w:val="22"/>
          <w:szCs w:val="26"/>
          <w:rtl/>
        </w:rPr>
      </w:pPr>
      <w:r w:rsidRPr="002F5E4C">
        <w:rPr>
          <w:rFonts w:cs="B Mitra" w:hint="cs"/>
          <w:sz w:val="22"/>
          <w:szCs w:val="26"/>
          <w:rtl/>
        </w:rPr>
        <w:t>محیط های ایده آل ساختن گرایی به یادگیرنده اختیارات و آزادی‌های زیادی می‌دهند تا بتواند با محیط به تعامل بپردازد. این محیط‌ها مسائل مورد علاقه و واقعی را جهت ارائه راه‌حل، برای یادگیرنده فراهم می‌کنند چیزها یا موقعیت‌هایی را برای آن‌ها فراهم می‌کنند تا به اکتشاف آن موقعیت‌ها بپردازند. بازی سوپر ماریو بروس، یک بازی با سبک پلتفرم و دوبعدی است که محیطی را برای آزمایش و خطا و همچنین محیطی را برای کشف و اکتشاف فراهم کرده است. این بازی یکی از بازی‌های معروف و پرطرفدار در تاریخ بازی‌های دیجیتال می‌باشد (بکر</w:t>
      </w:r>
      <w:r w:rsidRPr="002F5E4C">
        <w:rPr>
          <w:rFonts w:cs="B Mitra"/>
          <w:sz w:val="22"/>
          <w:szCs w:val="26"/>
          <w:rtl/>
        </w:rPr>
        <w:footnoteReference w:id="32"/>
      </w:r>
      <w:r w:rsidRPr="002F5E4C">
        <w:rPr>
          <w:rFonts w:cs="B Mitra" w:hint="cs"/>
          <w:sz w:val="22"/>
          <w:szCs w:val="26"/>
          <w:rtl/>
        </w:rPr>
        <w:t>، 2008).</w:t>
      </w:r>
    </w:p>
    <w:p w14:paraId="18EFA9D8" w14:textId="77777777" w:rsidR="001769C7" w:rsidRPr="002F5E4C" w:rsidRDefault="001769C7" w:rsidP="002F5E4C">
      <w:pPr>
        <w:bidi/>
        <w:ind w:left="-2"/>
        <w:jc w:val="both"/>
        <w:rPr>
          <w:rFonts w:cs="B Mitra"/>
          <w:sz w:val="22"/>
          <w:szCs w:val="26"/>
          <w:rtl/>
        </w:rPr>
      </w:pPr>
      <w:r w:rsidRPr="002F5E4C">
        <w:rPr>
          <w:rFonts w:cs="B Mitra" w:hint="cs"/>
          <w:sz w:val="22"/>
          <w:szCs w:val="26"/>
          <w:rtl/>
        </w:rPr>
        <w:t>1.فعال بودن</w:t>
      </w:r>
    </w:p>
    <w:p w14:paraId="3D538F12" w14:textId="77777777" w:rsidR="001769C7" w:rsidRPr="002F5E4C" w:rsidRDefault="001769C7" w:rsidP="002F5E4C">
      <w:pPr>
        <w:bidi/>
        <w:ind w:left="-2"/>
        <w:jc w:val="both"/>
        <w:rPr>
          <w:rFonts w:cs="B Mitra"/>
          <w:sz w:val="22"/>
          <w:szCs w:val="26"/>
          <w:rtl/>
        </w:rPr>
      </w:pPr>
      <w:r w:rsidRPr="002F5E4C">
        <w:rPr>
          <w:rFonts w:cs="B Mitra" w:hint="cs"/>
          <w:sz w:val="22"/>
          <w:szCs w:val="26"/>
          <w:rtl/>
        </w:rPr>
        <w:lastRenderedPageBreak/>
        <w:t>یادگیرندگان با پردازش آگاهانه اطلاعات در فرایند یادگیری درگیر می‌شوند درحالی‌که آن‌ها مسئول نتایج به‌دست‌آمده هستند (جاناسن</w:t>
      </w:r>
      <w:r w:rsidRPr="002F5E4C">
        <w:rPr>
          <w:rFonts w:cs="B Mitra"/>
          <w:sz w:val="22"/>
          <w:szCs w:val="26"/>
          <w:rtl/>
        </w:rPr>
        <w:footnoteReference w:id="33"/>
      </w:r>
      <w:r w:rsidRPr="002F5E4C">
        <w:rPr>
          <w:rFonts w:cs="B Mitra" w:hint="cs"/>
          <w:sz w:val="22"/>
          <w:szCs w:val="26"/>
          <w:rtl/>
        </w:rPr>
        <w:t>، 2004). این مطلب، قلب یا هسته بازی‌های دیجیتال است که بازی ماریو نیز مستثنا از این قضیه نیست. در بازی ماریو موقعیت‌های بسیار کمی پیش می‌آید که ماریو هیچ کاری را انجام ندهد یا بایستد بلکه این بازی یک بازی سریع و سرعتی است که بازیکن همیشه مشغول انجام بازی است و این یکی از دلایل مهم جذابیت این بازی است. در هر مرحله تبهکاران یا شروران متنوعی در محیط بازی پدیدار می‌شود که ماریو باید بسیار آگاه، هوشیار و مراقب بوده و عکس‌العمل مناسبی در مقابل آن‌ها انجام دهد. صداها و موسیقی‌های کارتونی نیز یکی از عوامل جذابیت و درگیر کنندگی این بازی است. در  بازی ماریو هر یک از مراحل (یا بخش‌ها) دارای یک محیط یا «دنیای» خاصی است و در شروع بازی  بازیکن فقط به یک مرحله یا بخشی از این دنیا دسترسی دارد. رسیدن به بخش‌ها یا مراحل بیشتر و بعدی بستگی به عملکرد بازیکن دارد و موفقیت در مرحله حاضر و رسیدن به مراحل بعدی به تمرین، تمرین، تمرین بیشتر نیاز دارد.</w:t>
      </w:r>
    </w:p>
    <w:p w14:paraId="49A489F1" w14:textId="77777777" w:rsidR="001769C7" w:rsidRPr="002F5E4C" w:rsidRDefault="001769C7" w:rsidP="002F5E4C">
      <w:pPr>
        <w:bidi/>
        <w:ind w:left="-2"/>
        <w:jc w:val="both"/>
        <w:rPr>
          <w:rFonts w:cs="B Mitra"/>
          <w:sz w:val="22"/>
          <w:szCs w:val="26"/>
          <w:rtl/>
        </w:rPr>
      </w:pPr>
      <w:r w:rsidRPr="002F5E4C">
        <w:rPr>
          <w:rFonts w:cs="B Mitra" w:hint="cs"/>
          <w:sz w:val="22"/>
          <w:szCs w:val="26"/>
          <w:rtl/>
        </w:rPr>
        <w:t>2.سازنده بودن</w:t>
      </w:r>
    </w:p>
    <w:p w14:paraId="484CCBAD" w14:textId="77777777" w:rsidR="001769C7" w:rsidRPr="002F5E4C" w:rsidRDefault="001769C7" w:rsidP="002F5E4C">
      <w:pPr>
        <w:bidi/>
        <w:ind w:left="-2"/>
        <w:jc w:val="both"/>
        <w:rPr>
          <w:rFonts w:cs="B Mitra"/>
          <w:sz w:val="22"/>
          <w:szCs w:val="26"/>
          <w:rtl/>
        </w:rPr>
      </w:pPr>
      <w:r w:rsidRPr="002F5E4C">
        <w:rPr>
          <w:rFonts w:cs="B Mitra" w:hint="cs"/>
          <w:sz w:val="22"/>
          <w:szCs w:val="26"/>
          <w:rtl/>
        </w:rPr>
        <w:t>«یادگیرندگان به منظور ایجاد احساس یا ساختن معنی یا نزدیک کردن و مطابقت دادن تضاد، کنجکاوی یا حیرت و سرگشتگی، اطلاعات جدید را بادانش موجود خود ادغام می‌کنند» (جاناسن، 2004).</w:t>
      </w:r>
    </w:p>
    <w:p w14:paraId="452E7F9E" w14:textId="77777777" w:rsidR="001769C7" w:rsidRPr="002F5E4C" w:rsidRDefault="001769C7" w:rsidP="002F5E4C">
      <w:pPr>
        <w:bidi/>
        <w:ind w:left="-2"/>
        <w:jc w:val="both"/>
        <w:rPr>
          <w:rFonts w:cs="B Mitra"/>
          <w:sz w:val="22"/>
          <w:szCs w:val="26"/>
          <w:rtl/>
        </w:rPr>
      </w:pPr>
      <w:r w:rsidRPr="002F5E4C">
        <w:rPr>
          <w:rFonts w:cs="B Mitra" w:hint="cs"/>
          <w:sz w:val="22"/>
          <w:szCs w:val="26"/>
          <w:rtl/>
        </w:rPr>
        <w:t>در بازی ماریو نیز محیط‌ها یا مراحل متنوعی طراحی‌شده است. این مراحل با منظره‌های مشابه یا تفاوت کمی نسبت به همدیگر هستند. که در مراحل اولیه مهارت‌های اساسی کسب می‌شوند و در مراحل بعدی مهارت‌هایی ارائه‌شده‌اند که پیش‌نیاز کسب این مهارت‌ها در مراحل قبلی یادگرفته شده است. به عبارتی یادگیری و کسب مهارتی در مرحله جدید بر پایه مهارت‌های کسب شده در مراحل قبلی ساخته شده است. بازیکن در بازی ماریو ابتدا مهارت‌های اساس را کسب می‌کند و بازی تدریجاً چالش‌های جدیدی را ارئه می‌کند همچنین به بازیکن رفته‌رفته قدرت و نیرو می‌دهد و بازیکن می‌تواند بپرد، بدود و سرعت بگیرد. بنابراین از این دیدگاه بازی سوپر ماریو بروس یک محیط سازنده گرایی است.</w:t>
      </w:r>
    </w:p>
    <w:p w14:paraId="23E2AD16" w14:textId="77777777" w:rsidR="001769C7" w:rsidRPr="002F5E4C" w:rsidRDefault="001769C7" w:rsidP="002F5E4C">
      <w:pPr>
        <w:bidi/>
        <w:ind w:left="-2"/>
        <w:jc w:val="both"/>
        <w:rPr>
          <w:rFonts w:cs="B Mitra"/>
          <w:sz w:val="22"/>
          <w:szCs w:val="26"/>
          <w:rtl/>
        </w:rPr>
      </w:pPr>
      <w:r w:rsidRPr="002F5E4C">
        <w:rPr>
          <w:rFonts w:cs="B Mitra" w:hint="cs"/>
          <w:sz w:val="22"/>
          <w:szCs w:val="26"/>
          <w:rtl/>
        </w:rPr>
        <w:t>3. مشارکتی بودن</w:t>
      </w:r>
    </w:p>
    <w:p w14:paraId="4A16F2EB" w14:textId="77777777" w:rsidR="001769C7" w:rsidRPr="002F5E4C" w:rsidRDefault="001769C7" w:rsidP="002F5E4C">
      <w:pPr>
        <w:bidi/>
        <w:ind w:left="-2"/>
        <w:jc w:val="both"/>
        <w:rPr>
          <w:rFonts w:cs="B Mitra"/>
          <w:sz w:val="22"/>
          <w:szCs w:val="26"/>
          <w:rtl/>
        </w:rPr>
      </w:pPr>
      <w:r w:rsidRPr="002F5E4C">
        <w:rPr>
          <w:rFonts w:cs="B Mitra" w:hint="cs"/>
          <w:sz w:val="22"/>
          <w:szCs w:val="26"/>
          <w:rtl/>
        </w:rPr>
        <w:t>یادگیرندگان به‌طور طبیعی در اجتماعات یادگیری و ساختن دانش کار می‌کنند، از مهارت‌های همدیگر بهره می‌برند، الگودهی و حمایت‌های اجتماعی را برای همدیگر فراهم می‌کنند و فعالیت‌ها و کمک‌های هر فرد را مشاهده می‌کنند (جاناسن، 2004). انسان‌ها به‌طور طبیعی به دنبال دیگران هستند تا در حل مسائل و انجام تکالیف به آن‌ها کمک کنند (جاناسن، 2004). بازی ماریو که در اینجا از دیدگاه ساختن گرایی مورد تحلیل قرار می‌گیرد. این بازی، از نوع بازی‌های انفرادی است. در این بازی ماریو به‌تنهایی تلاش می‌کند و همه شخصیت‌های غیرقابل‌کنترل در این بازی، افراد بد و زشتی هستند. بنابراین در داخل خود بازی فرصت‌های کمی برای مشارکت وجود دارد. ولی در بیرون از محیط بازی، طرفداران مشتاق این بازی محیط‌های اجتماعی گسترده‌ای را ایجاد کرده و در این محیط‌ها به بحث و اشتراک تصاویر، اشتراک ویدئوهایی از فرایند انجام بازی، انتشار کلیپ آرت هایی از بازی و ... می‌پردازند. در این اجتماعات و مشارکت‌ها، تبادل اطلاعات و اشتراک‌هایی انجام می‌شود که مثل خود بازی اعضای این اجتماعات را درگیر کرده و نگه می‌دارند.</w:t>
      </w:r>
    </w:p>
    <w:p w14:paraId="6D71F79C" w14:textId="77777777" w:rsidR="001769C7" w:rsidRPr="002F5E4C" w:rsidRDefault="001769C7" w:rsidP="002F5E4C">
      <w:pPr>
        <w:bidi/>
        <w:ind w:left="-2"/>
        <w:jc w:val="both"/>
        <w:rPr>
          <w:rFonts w:cs="B Mitra"/>
          <w:sz w:val="22"/>
          <w:szCs w:val="26"/>
          <w:rtl/>
        </w:rPr>
      </w:pPr>
      <w:r w:rsidRPr="002F5E4C">
        <w:rPr>
          <w:rFonts w:cs="B Mitra" w:hint="cs"/>
          <w:sz w:val="22"/>
          <w:szCs w:val="26"/>
          <w:rtl/>
        </w:rPr>
        <w:t>4.هدف‌دار بودن</w:t>
      </w:r>
    </w:p>
    <w:p w14:paraId="48351E7F" w14:textId="77777777" w:rsidR="001769C7" w:rsidRPr="002F5E4C" w:rsidRDefault="001769C7" w:rsidP="002F5E4C">
      <w:pPr>
        <w:bidi/>
        <w:ind w:left="-2"/>
        <w:jc w:val="both"/>
        <w:rPr>
          <w:rFonts w:cs="B Mitra"/>
          <w:sz w:val="22"/>
          <w:szCs w:val="26"/>
          <w:rtl/>
        </w:rPr>
      </w:pPr>
      <w:r w:rsidRPr="002F5E4C">
        <w:rPr>
          <w:rFonts w:cs="B Mitra" w:hint="cs"/>
          <w:sz w:val="22"/>
          <w:szCs w:val="26"/>
          <w:rtl/>
        </w:rPr>
        <w:lastRenderedPageBreak/>
        <w:t>همه رفتارهای انسان‌ها هدف‌دار هستند (شانک و کلیری</w:t>
      </w:r>
      <w:r w:rsidRPr="002F5E4C">
        <w:rPr>
          <w:rFonts w:cs="B Mitra"/>
          <w:sz w:val="22"/>
          <w:szCs w:val="26"/>
          <w:rtl/>
        </w:rPr>
        <w:footnoteReference w:id="34"/>
      </w:r>
      <w:r w:rsidRPr="002F5E4C">
        <w:rPr>
          <w:rFonts w:cs="B Mitra" w:hint="cs"/>
          <w:sz w:val="22"/>
          <w:szCs w:val="26"/>
          <w:rtl/>
        </w:rPr>
        <w:t xml:space="preserve">، 1995). بنابراین هر کاری که ما انجام می‌دهیم برای رسیدن به هدفی می‌باشد. زمانیکه یادگیرندگان به‌صورت فعال و مشتاق برای دست‌یابی به هدف شناختی و ذهنی تلاش می‌کنند، آن‌ها فکر می‌کنند و بیشتر یاد می‌گیرند (جاناسن،2004). همه بازی‌های دیجیتال هدف‌دار هستند. هدف یکی از عناصر اساسی بازی‌های دیجیتال می‌باشد. نورها، رنگ‌ها و صداها، امتیازها، بازخوردهای طبیعی در بازی ماریو هم برای بازیکن هیجان‌انگیز بوده و هم او را در انجام موفقیت‌آمیز مراحل بازی و رسیدن به هدف هر مرحله کمک می‌کند. پاسخ و عکس‌العمل بازی در پایان هر دوره و مرحله نیز برای بازیکن جذاب بوده و بازخوردی است که نشان دهنده رسیدن به هدف یا پایان مرحله می‌باشد. </w:t>
      </w:r>
    </w:p>
    <w:p w14:paraId="38DFCDAC" w14:textId="77777777" w:rsidR="001769C7" w:rsidRPr="002F5E4C" w:rsidRDefault="001769C7" w:rsidP="002F5E4C">
      <w:pPr>
        <w:bidi/>
        <w:ind w:left="-2"/>
        <w:jc w:val="both"/>
        <w:rPr>
          <w:rFonts w:cs="B Mitra"/>
          <w:sz w:val="22"/>
          <w:szCs w:val="26"/>
          <w:rtl/>
        </w:rPr>
      </w:pPr>
      <w:r w:rsidRPr="002F5E4C">
        <w:rPr>
          <w:rFonts w:cs="B Mitra" w:hint="cs"/>
          <w:sz w:val="22"/>
          <w:szCs w:val="26"/>
          <w:rtl/>
        </w:rPr>
        <w:t>5.پیچیدگی</w:t>
      </w:r>
    </w:p>
    <w:p w14:paraId="7CE209A9" w14:textId="77777777" w:rsidR="001769C7" w:rsidRPr="002F5E4C" w:rsidRDefault="001769C7" w:rsidP="002F5E4C">
      <w:pPr>
        <w:bidi/>
        <w:ind w:left="-2"/>
        <w:jc w:val="both"/>
        <w:rPr>
          <w:rFonts w:cs="B Mitra"/>
          <w:sz w:val="22"/>
          <w:szCs w:val="26"/>
          <w:rtl/>
        </w:rPr>
      </w:pPr>
      <w:r w:rsidRPr="002F5E4C">
        <w:rPr>
          <w:rFonts w:cs="B Mitra" w:hint="cs"/>
          <w:sz w:val="22"/>
          <w:szCs w:val="26"/>
          <w:rtl/>
        </w:rPr>
        <w:t>همچنان</w:t>
      </w:r>
      <w:r w:rsidRPr="002F5E4C">
        <w:rPr>
          <w:rFonts w:cs="B Mitra"/>
          <w:sz w:val="22"/>
          <w:szCs w:val="26"/>
          <w:rtl/>
        </w:rPr>
        <w:t xml:space="preserve"> </w:t>
      </w:r>
      <w:r w:rsidRPr="002F5E4C">
        <w:rPr>
          <w:rFonts w:cs="B Mitra" w:hint="cs"/>
          <w:sz w:val="22"/>
          <w:szCs w:val="26"/>
          <w:rtl/>
        </w:rPr>
        <w:t>که یادگیرندگان را در مسائل آسان درگیر می‌کنیم نیاز داریم یادگیرندگان را در حل مسائل پیچیده و کمتر ساختاریافته درگیر کنیم (جاناسن، 2004). بازی ماریو یک بازی مهارتی است بااین‌حال این بازی، معماهای ذهنی پیچیده نیز در خود دارد. ماریو چالش‌هایی را یکی بعد از دیگری برای بازیکن ارائه می‌کند. بعضی از این چالش‌ها آسان بوده و بازیکن در تلاش اول خود می‌تواند آن را با موفقیت حل کند ولی برخی دیگر آن‌قدر پیچیده هستند که بازیکنان برای حل آن‌ها از دیگران در محیط اطراف خود یا در اجتماعات مجازی کمک می‌گیرند.</w:t>
      </w:r>
    </w:p>
    <w:p w14:paraId="069991DB" w14:textId="77777777" w:rsidR="001769C7" w:rsidRPr="002F5E4C" w:rsidRDefault="001769C7" w:rsidP="002F5E4C">
      <w:pPr>
        <w:bidi/>
        <w:ind w:left="-2"/>
        <w:jc w:val="both"/>
        <w:rPr>
          <w:rFonts w:cs="B Mitra"/>
          <w:sz w:val="22"/>
          <w:szCs w:val="26"/>
          <w:rtl/>
        </w:rPr>
      </w:pPr>
      <w:r w:rsidRPr="002F5E4C">
        <w:rPr>
          <w:rFonts w:cs="B Mitra" w:hint="cs"/>
          <w:sz w:val="22"/>
          <w:szCs w:val="26"/>
          <w:rtl/>
        </w:rPr>
        <w:t>6.بافتمندی</w:t>
      </w:r>
    </w:p>
    <w:p w14:paraId="7C7EF7B6" w14:textId="79AAF622" w:rsidR="001769C7" w:rsidRPr="002F5E4C" w:rsidRDefault="001769C7" w:rsidP="00672532">
      <w:pPr>
        <w:bidi/>
        <w:ind w:left="-2"/>
        <w:jc w:val="both"/>
        <w:rPr>
          <w:rFonts w:cs="B Mitra"/>
          <w:sz w:val="22"/>
          <w:szCs w:val="26"/>
          <w:rtl/>
        </w:rPr>
      </w:pPr>
      <w:r w:rsidRPr="002F5E4C">
        <w:rPr>
          <w:rFonts w:cs="B Mitra" w:hint="cs"/>
          <w:sz w:val="22"/>
          <w:szCs w:val="26"/>
          <w:rtl/>
        </w:rPr>
        <w:t>یادگیری باید در  فعالیت‌های مبتنی بر دنیای واقعی یا مبتنی بر مورد یا وظیفه مبتنی بر مساله معنادار، بافتمند شده باشد. اکثر بازی‌هایی که مبتنی بر داستان بوده و یا شبیه‌سازی شده‌اند، بافتمند بودن یادگیری را فراهم می‌کنند. البته بازی ماریو فعالیت‌های مبتنی بر دنیای واقعی کمی دارد بااین‌حال این بازی چالش‌های خوبی ارائه می‌کند. در حقیقت این چالش‌ها برای برانگیختن و علاقه‌مند کردن بازیکنان از نگاه آموزشی است. داستان بازی‌های دیجیتال نیز به بافتمند کردن بازی‌ها بسیار کمک می‌کند. ولی داستان بازی ماریو بسیار ضعیف است. بازی ماریو مجموعه‌ای از موانع مسابقه‌ای است و بنابراین این بازی بافت معنادار کمتری دارد. بااین‌حال به نظر می‌رسد بخشی از معروف بودن این بازی مربوط به شخصیت‌های بازی شبیه کارتون‌های میکی موس و باگز بانی است ولی بخش دیگر آن به سبک بازی ماریو برمی‌گردد که شبیه دنیای واقعی، در همه ورژن های بازی همه‌چیز در جای خود قرار دارد.</w:t>
      </w:r>
    </w:p>
    <w:p w14:paraId="2DF1F63B" w14:textId="77777777" w:rsidR="001769C7" w:rsidRPr="002F5E4C" w:rsidRDefault="001769C7" w:rsidP="002F5E4C">
      <w:pPr>
        <w:bidi/>
        <w:ind w:left="-2"/>
        <w:jc w:val="both"/>
        <w:rPr>
          <w:rFonts w:cs="B Mitra"/>
          <w:sz w:val="22"/>
          <w:szCs w:val="26"/>
          <w:rtl/>
        </w:rPr>
      </w:pPr>
      <w:r w:rsidRPr="002F5E4C">
        <w:rPr>
          <w:rFonts w:cs="B Mitra" w:hint="cs"/>
          <w:sz w:val="22"/>
          <w:szCs w:val="26"/>
          <w:rtl/>
        </w:rPr>
        <w:t>7.تأمل‌برانگیز بودن</w:t>
      </w:r>
    </w:p>
    <w:p w14:paraId="36800BAD" w14:textId="50965660" w:rsidR="001769C7" w:rsidRDefault="001769C7" w:rsidP="002F5E4C">
      <w:pPr>
        <w:bidi/>
        <w:ind w:left="-2"/>
        <w:jc w:val="both"/>
        <w:rPr>
          <w:rFonts w:cs="B Mitra"/>
          <w:sz w:val="22"/>
          <w:szCs w:val="26"/>
          <w:rtl/>
        </w:rPr>
      </w:pPr>
      <w:r w:rsidRPr="002F5E4C">
        <w:rPr>
          <w:rFonts w:cs="B Mitra" w:hint="cs"/>
          <w:sz w:val="22"/>
          <w:szCs w:val="26"/>
          <w:rtl/>
        </w:rPr>
        <w:t>در یادگیری مبتنی بر تکنولوژی، یادگیرندگان نیاز دارند آنچه را که انجام می‌دهند، تصمیم‌هایی را که می‌گیرند، راهبردهایی که استفاده می‌کنند و پاسخ‌هایی را که پیدا می‌کنند را درک کرده و بفهمند (جاناسن، 2004). البته این مورد یکی از مواردی است که بازی‌های دیجیتال در طراحی کمتر در نظر می‌گیرند (پرنسکی، 2001). بااین‌حال بازیکنان با تشکیل اجتماعاتی به‌صورت مجازی و یا واقعی در مورد فرایند انجام بازی، تصاویری از بازی، در مورد چالش‌ها و محیط بازی، روش‌های حل چالش و... به بحث و اشتراک نظر می‌پردازند که این بحث‌ها و اشتراک نظرها موجب می‌شود در فعالیت‌هایی که انجام می‌دهند، تصمیماتی که می‌گیرند، راهبردهایی که استفاده می‌کنند و پاسخ‌هایی را که پیدا می‌کنند به تأمل و تفکر بپردازند. البته خود سیستم‌های بازی‌های دیجیتال با ارائه راهنمایی‌ها و بازخوردهای متنوع و جذاب زمینه تأمل و تفکر را می‌توانند فراهم کنند.</w:t>
      </w:r>
    </w:p>
    <w:p w14:paraId="327C8667" w14:textId="0165A91C" w:rsidR="000F1283" w:rsidRDefault="000F1283" w:rsidP="000F1283">
      <w:pPr>
        <w:bidi/>
        <w:ind w:left="-2"/>
        <w:jc w:val="both"/>
        <w:rPr>
          <w:rFonts w:cs="B Mitra"/>
          <w:sz w:val="22"/>
          <w:szCs w:val="26"/>
          <w:rtl/>
        </w:rPr>
      </w:pPr>
    </w:p>
    <w:p w14:paraId="341548ED" w14:textId="77777777" w:rsidR="008E7540" w:rsidRDefault="008E7540" w:rsidP="008E7540">
      <w:pPr>
        <w:bidi/>
        <w:ind w:left="-2"/>
        <w:jc w:val="both"/>
        <w:rPr>
          <w:rFonts w:cs="B Mitra"/>
          <w:sz w:val="22"/>
          <w:szCs w:val="26"/>
          <w:rtl/>
        </w:rPr>
      </w:pPr>
    </w:p>
    <w:p w14:paraId="349B8880" w14:textId="24C7005D" w:rsidR="000F1283" w:rsidRPr="008E7540" w:rsidRDefault="008E7540" w:rsidP="008E7540">
      <w:pPr>
        <w:pStyle w:val="BodyText"/>
        <w:bidi/>
        <w:spacing w:before="40"/>
        <w:ind w:left="-2"/>
        <w:rPr>
          <w:rFonts w:cs="B Titr"/>
          <w:b/>
          <w:bCs/>
          <w:sz w:val="22"/>
          <w:szCs w:val="24"/>
          <w:rtl/>
        </w:rPr>
      </w:pPr>
      <w:r>
        <w:rPr>
          <w:rFonts w:cs="B Titr" w:hint="cs"/>
          <w:b/>
          <w:bCs/>
          <w:sz w:val="22"/>
          <w:szCs w:val="24"/>
          <w:rtl/>
        </w:rPr>
        <w:lastRenderedPageBreak/>
        <w:t>8-</w:t>
      </w:r>
      <w:r w:rsidR="000F1283" w:rsidRPr="008E7540">
        <w:rPr>
          <w:rFonts w:cs="B Titr" w:hint="cs"/>
          <w:b/>
          <w:bCs/>
          <w:sz w:val="22"/>
          <w:szCs w:val="24"/>
          <w:rtl/>
        </w:rPr>
        <w:t>نتیجه گیری</w:t>
      </w:r>
    </w:p>
    <w:p w14:paraId="567CDA8D" w14:textId="2B69565F" w:rsidR="000F1283" w:rsidRPr="00122FBF" w:rsidRDefault="000F1283" w:rsidP="000F1283">
      <w:pPr>
        <w:bidi/>
        <w:ind w:left="-2"/>
        <w:jc w:val="lowKashida"/>
        <w:rPr>
          <w:rFonts w:cs="B Mitra"/>
          <w:sz w:val="22"/>
          <w:szCs w:val="26"/>
          <w:rtl/>
          <w:lang w:bidi="fa-IR"/>
        </w:rPr>
      </w:pPr>
      <w:r w:rsidRPr="00122FBF">
        <w:rPr>
          <w:rFonts w:cs="B Mitra" w:hint="cs"/>
          <w:sz w:val="22"/>
          <w:szCs w:val="26"/>
          <w:rtl/>
          <w:lang w:bidi="fa-IR"/>
        </w:rPr>
        <w:t>مطالعات نشان می دهند که خود رسانه موجب بهبود یادگیری نمی‌شود بلکه طراحی آموزشی و یا طراحی محیط یادگیری است می‌تواند از قابلیت‌های رسانه‌ها برای بهبود یادگیری استفاده کند. در همین راستا محققان تأکید می‌کنند که  عنصر کلیدی در بازی‌های دیجیتال آموزشی متوجه نوع طراحی آن‌ها می‌باشد؛ اگر در طراحی بازی‌های دیجیتال  عناصر یادگیری و آموزشی به‌کاربرده شوند، می‌تواند زمینه یادگیری را برای یادگیرندگان فراهم کند</w:t>
      </w:r>
      <w:r>
        <w:rPr>
          <w:rFonts w:cs="B Mitra" w:hint="cs"/>
          <w:sz w:val="22"/>
          <w:szCs w:val="26"/>
          <w:rtl/>
          <w:lang w:bidi="fa-IR"/>
        </w:rPr>
        <w:t xml:space="preserve"> (پرنسکی،2005).</w:t>
      </w:r>
      <w:r w:rsidRPr="00122FBF">
        <w:rPr>
          <w:rFonts w:cs="B Mitra" w:hint="cs"/>
          <w:sz w:val="22"/>
          <w:szCs w:val="26"/>
          <w:rtl/>
          <w:lang w:bidi="fa-IR"/>
        </w:rPr>
        <w:t xml:space="preserve"> در مطالعه حاضر، به بحث و بررسی </w:t>
      </w:r>
      <w:r>
        <w:rPr>
          <w:rFonts w:cs="B Mitra" w:hint="cs"/>
          <w:sz w:val="22"/>
          <w:szCs w:val="26"/>
          <w:rtl/>
          <w:lang w:bidi="fa-IR"/>
        </w:rPr>
        <w:t xml:space="preserve">برخی از مهمترین و پرکاربردترین نظریه ها و اصول آموزش و یادگیری از قبیل رویکرد یادگیری رفتارگرایی، شناخت گرایی، سازختن گرایی، الگوی انگیزشی کلر، نظریه انگیزش درونی مالون و لپر و شاگرد شناختی مورد بحث قرار گرفته و دلالتهای آنها جهت طراحی بازیهای آموزشی اثربخش مطرح شدند. </w:t>
      </w:r>
    </w:p>
    <w:p w14:paraId="67342503" w14:textId="77777777" w:rsidR="000F1283" w:rsidRPr="002F5E4C" w:rsidRDefault="000F1283" w:rsidP="000F1283">
      <w:pPr>
        <w:bidi/>
        <w:ind w:left="-2"/>
        <w:jc w:val="both"/>
        <w:rPr>
          <w:rFonts w:cs="B Mitra"/>
          <w:sz w:val="22"/>
          <w:szCs w:val="26"/>
          <w:rtl/>
          <w:lang w:bidi="fa-IR"/>
        </w:rPr>
      </w:pPr>
    </w:p>
    <w:p w14:paraId="694CC84F" w14:textId="77777777" w:rsidR="001769C7" w:rsidRDefault="001769C7" w:rsidP="001769C7">
      <w:pPr>
        <w:bidi/>
        <w:jc w:val="both"/>
        <w:rPr>
          <w:rtl/>
          <w:lang w:bidi="fa-IR"/>
        </w:rPr>
      </w:pPr>
    </w:p>
    <w:p w14:paraId="41AD5E15" w14:textId="77777777" w:rsidR="001769C7" w:rsidRPr="008E7540" w:rsidRDefault="001769C7" w:rsidP="008E7540">
      <w:pPr>
        <w:pStyle w:val="BodyText3"/>
        <w:bidi/>
        <w:ind w:left="-2"/>
        <w:rPr>
          <w:rFonts w:cs="B Titr"/>
          <w:b/>
          <w:bCs/>
          <w:sz w:val="22"/>
          <w:rtl/>
        </w:rPr>
      </w:pPr>
      <w:r w:rsidRPr="008E7540">
        <w:rPr>
          <w:rFonts w:cs="B Titr" w:hint="cs"/>
          <w:b/>
          <w:bCs/>
          <w:sz w:val="22"/>
          <w:rtl/>
        </w:rPr>
        <w:t>منابع</w:t>
      </w:r>
    </w:p>
    <w:p w14:paraId="32FF2E3C" w14:textId="77777777" w:rsidR="001769C7" w:rsidRPr="008E7540" w:rsidRDefault="001769C7" w:rsidP="008E7540">
      <w:pPr>
        <w:pStyle w:val="BodyText3"/>
        <w:bidi/>
        <w:ind w:left="-2"/>
        <w:jc w:val="lowKashida"/>
        <w:rPr>
          <w:rFonts w:cs="B Mitra"/>
          <w:sz w:val="26"/>
          <w:szCs w:val="26"/>
          <w:rtl/>
        </w:rPr>
      </w:pPr>
      <w:r w:rsidRPr="008E7540">
        <w:rPr>
          <w:rFonts w:cs="B Mitra" w:hint="cs"/>
          <w:sz w:val="26"/>
          <w:szCs w:val="26"/>
          <w:rtl/>
        </w:rPr>
        <w:t>دهقانزاده، حسین. (1397). آموزش مبتنی بر بازیهای دیجیتال، تهران، انتشارات دانشگاه صداوسیما</w:t>
      </w:r>
    </w:p>
    <w:p w14:paraId="029D8F23" w14:textId="77777777" w:rsidR="001769C7" w:rsidRPr="008E7540" w:rsidRDefault="001769C7" w:rsidP="008E7540">
      <w:pPr>
        <w:pStyle w:val="BodyText3"/>
        <w:bidi/>
        <w:ind w:left="-2"/>
        <w:jc w:val="lowKashida"/>
        <w:rPr>
          <w:rFonts w:cs="B Mitra"/>
          <w:sz w:val="26"/>
          <w:szCs w:val="26"/>
          <w:rtl/>
        </w:rPr>
      </w:pPr>
      <w:r w:rsidRPr="008E7540">
        <w:rPr>
          <w:rFonts w:cs="B Mitra" w:hint="cs"/>
          <w:sz w:val="26"/>
          <w:szCs w:val="26"/>
          <w:rtl/>
        </w:rPr>
        <w:t>گانیه ، روبرت . ام.(1361). شرایط یادگیری، ( جعفر نجفی زند، مترجم)،تهران، امیر کبیر، ( تاریخ انتشار به زبان اصلی 1977).</w:t>
      </w:r>
    </w:p>
    <w:p w14:paraId="7188F54C" w14:textId="77777777" w:rsidR="001769C7" w:rsidRPr="008E7540" w:rsidRDefault="001769C7" w:rsidP="008E7540">
      <w:pPr>
        <w:pStyle w:val="BodyText"/>
        <w:spacing w:after="120"/>
        <w:ind w:left="-2"/>
        <w:jc w:val="lowKashida"/>
        <w:rPr>
          <w:rFonts w:cs="B Mitra"/>
          <w:i/>
          <w:iCs/>
          <w:sz w:val="20"/>
        </w:rPr>
      </w:pPr>
      <w:r w:rsidRPr="008E7540">
        <w:rPr>
          <w:rFonts w:cs="B Mitra"/>
          <w:i/>
          <w:iCs/>
          <w:sz w:val="20"/>
        </w:rPr>
        <w:t>Adams, E., &amp; Rollings, A. (2007). Fundamentals of Game Design, NJ: Prentice Hall.</w:t>
      </w:r>
    </w:p>
    <w:p w14:paraId="2E375EAC" w14:textId="77777777" w:rsidR="001769C7" w:rsidRPr="008E7540" w:rsidRDefault="001769C7" w:rsidP="008E7540">
      <w:pPr>
        <w:pStyle w:val="BodyText"/>
        <w:spacing w:after="120"/>
        <w:ind w:left="-2"/>
        <w:jc w:val="lowKashida"/>
        <w:rPr>
          <w:rFonts w:cs="B Mitra"/>
          <w:i/>
          <w:iCs/>
          <w:sz w:val="20"/>
          <w:rtl/>
        </w:rPr>
      </w:pPr>
      <w:r w:rsidRPr="008E7540">
        <w:rPr>
          <w:rFonts w:cs="B Mitra"/>
          <w:i/>
          <w:iCs/>
          <w:sz w:val="20"/>
        </w:rPr>
        <w:t xml:space="preserve">Amory, A. (2007). Game object model version II: a theoretical framework for educational game development. </w:t>
      </w:r>
      <w:proofErr w:type="spellStart"/>
      <w:r w:rsidRPr="008E7540">
        <w:rPr>
          <w:rFonts w:cs="B Mitra"/>
          <w:i/>
          <w:iCs/>
          <w:sz w:val="20"/>
        </w:rPr>
        <w:t>Etr&amp;D-Educational</w:t>
      </w:r>
      <w:proofErr w:type="spellEnd"/>
      <w:r w:rsidRPr="008E7540">
        <w:rPr>
          <w:rFonts w:cs="B Mitra"/>
          <w:i/>
          <w:iCs/>
          <w:sz w:val="20"/>
        </w:rPr>
        <w:t xml:space="preserve">  Technology  Research  and  Development, 55(1),  51–77.</w:t>
      </w:r>
    </w:p>
    <w:p w14:paraId="1D37B2D8" w14:textId="77777777" w:rsidR="001769C7" w:rsidRPr="008E7540" w:rsidRDefault="001769C7" w:rsidP="008E7540">
      <w:pPr>
        <w:pStyle w:val="BodyText"/>
        <w:spacing w:after="120"/>
        <w:ind w:left="-2"/>
        <w:jc w:val="lowKashida"/>
        <w:rPr>
          <w:rFonts w:cs="B Mitra"/>
          <w:i/>
          <w:iCs/>
          <w:sz w:val="20"/>
        </w:rPr>
      </w:pPr>
      <w:proofErr w:type="spellStart"/>
      <w:r w:rsidRPr="008E7540">
        <w:rPr>
          <w:rFonts w:cs="B Mitra"/>
          <w:i/>
          <w:iCs/>
          <w:sz w:val="20"/>
        </w:rPr>
        <w:t>Ardito</w:t>
      </w:r>
      <w:proofErr w:type="spellEnd"/>
      <w:r w:rsidRPr="008E7540">
        <w:rPr>
          <w:rFonts w:cs="B Mitra"/>
          <w:i/>
          <w:iCs/>
          <w:sz w:val="20"/>
        </w:rPr>
        <w:t xml:space="preserve">, C., </w:t>
      </w:r>
      <w:proofErr w:type="spellStart"/>
      <w:r w:rsidRPr="008E7540">
        <w:rPr>
          <w:rFonts w:cs="B Mitra"/>
          <w:i/>
          <w:iCs/>
          <w:sz w:val="20"/>
        </w:rPr>
        <w:t>Lanzilotti</w:t>
      </w:r>
      <w:proofErr w:type="spellEnd"/>
      <w:r w:rsidRPr="008E7540">
        <w:rPr>
          <w:rFonts w:cs="B Mitra"/>
          <w:i/>
          <w:iCs/>
          <w:sz w:val="20"/>
        </w:rPr>
        <w:t xml:space="preserve">, R., </w:t>
      </w:r>
      <w:proofErr w:type="spellStart"/>
      <w:r w:rsidRPr="008E7540">
        <w:rPr>
          <w:rFonts w:cs="B Mitra"/>
          <w:i/>
          <w:iCs/>
          <w:sz w:val="20"/>
        </w:rPr>
        <w:t>Costabile</w:t>
      </w:r>
      <w:proofErr w:type="spellEnd"/>
      <w:r w:rsidRPr="008E7540">
        <w:rPr>
          <w:rFonts w:cs="B Mitra"/>
          <w:i/>
          <w:iCs/>
          <w:sz w:val="20"/>
        </w:rPr>
        <w:t xml:space="preserve">, M. F., &amp; </w:t>
      </w:r>
      <w:proofErr w:type="spellStart"/>
      <w:r w:rsidRPr="008E7540">
        <w:rPr>
          <w:rFonts w:cs="B Mitra"/>
          <w:i/>
          <w:iCs/>
          <w:sz w:val="20"/>
        </w:rPr>
        <w:t>Desolda</w:t>
      </w:r>
      <w:proofErr w:type="spellEnd"/>
      <w:r w:rsidRPr="008E7540">
        <w:rPr>
          <w:rFonts w:cs="B Mitra"/>
          <w:i/>
          <w:iCs/>
          <w:sz w:val="20"/>
        </w:rPr>
        <w:t>, G. (2013). Integrating Traditional Learning and Games on Large Displays: An Experimental Study. Educational Technology &amp; Society, 16 (1), 44–56.</w:t>
      </w:r>
    </w:p>
    <w:p w14:paraId="7CD4D172" w14:textId="77777777" w:rsidR="001769C7" w:rsidRPr="008E7540" w:rsidRDefault="001769C7" w:rsidP="008E7540">
      <w:pPr>
        <w:pStyle w:val="BodyText"/>
        <w:spacing w:after="120"/>
        <w:ind w:left="-2"/>
        <w:jc w:val="lowKashida"/>
        <w:rPr>
          <w:rFonts w:cs="B Mitra"/>
          <w:i/>
          <w:iCs/>
          <w:sz w:val="20"/>
        </w:rPr>
      </w:pPr>
      <w:proofErr w:type="spellStart"/>
      <w:r w:rsidRPr="008E7540">
        <w:rPr>
          <w:rFonts w:cs="B Mitra"/>
          <w:i/>
          <w:iCs/>
          <w:sz w:val="20"/>
        </w:rPr>
        <w:t>Artino</w:t>
      </w:r>
      <w:proofErr w:type="spellEnd"/>
      <w:r w:rsidRPr="008E7540">
        <w:rPr>
          <w:rFonts w:cs="B Mitra"/>
          <w:i/>
          <w:iCs/>
          <w:sz w:val="20"/>
        </w:rPr>
        <w:t>, A. R., Jr. (2008). A brief analysis of research on problem-based learning. Online submission.Retrieved:</w:t>
      </w:r>
      <w:hyperlink r:id="rId8" w:history="1">
        <w:r w:rsidRPr="008E7540">
          <w:rPr>
            <w:rFonts w:cs="B Mitra"/>
            <w:i/>
            <w:iCs/>
            <w:sz w:val="20"/>
          </w:rPr>
          <w:t>http://eric</w:t>
        </w:r>
      </w:hyperlink>
      <w:r w:rsidRPr="008E7540">
        <w:rPr>
          <w:rFonts w:cs="B Mitra"/>
          <w:i/>
          <w:iCs/>
          <w:sz w:val="20"/>
        </w:rPr>
        <w:t>.ed.gov/ERICWebPortal/contentdelivery/servlet/ERICServlet?accno=ED501593.</w:t>
      </w:r>
    </w:p>
    <w:p w14:paraId="0B73FF79" w14:textId="77777777" w:rsidR="001769C7" w:rsidRPr="008E7540" w:rsidRDefault="001769C7" w:rsidP="008E7540">
      <w:pPr>
        <w:pStyle w:val="BodyText"/>
        <w:spacing w:after="120"/>
        <w:ind w:left="-2"/>
        <w:jc w:val="lowKashida"/>
        <w:rPr>
          <w:rFonts w:cs="B Mitra"/>
          <w:i/>
          <w:iCs/>
          <w:sz w:val="20"/>
          <w:rtl/>
        </w:rPr>
      </w:pPr>
      <w:r w:rsidRPr="008E7540">
        <w:rPr>
          <w:rFonts w:cs="B Mitra"/>
          <w:i/>
          <w:iCs/>
          <w:sz w:val="20"/>
        </w:rPr>
        <w:t xml:space="preserve">Buckley, K.E., &amp; Anderson, C.A. (2006). A theoretical model of the effects and consequences of playing video games. In P. </w:t>
      </w:r>
      <w:proofErr w:type="spellStart"/>
      <w:r w:rsidRPr="008E7540">
        <w:rPr>
          <w:rFonts w:cs="B Mitra"/>
          <w:i/>
          <w:iCs/>
          <w:sz w:val="20"/>
        </w:rPr>
        <w:t>Vorderer</w:t>
      </w:r>
      <w:proofErr w:type="spellEnd"/>
      <w:r w:rsidRPr="008E7540">
        <w:rPr>
          <w:rFonts w:cs="B Mitra"/>
          <w:i/>
          <w:iCs/>
          <w:sz w:val="20"/>
        </w:rPr>
        <w:t xml:space="preserve"> &amp; J. Bryant (Eds.), Playing video games: Motives, responses,</w:t>
      </w:r>
      <w:r w:rsidRPr="008E7540">
        <w:rPr>
          <w:rFonts w:cs="B Mitra"/>
          <w:i/>
          <w:iCs/>
          <w:sz w:val="20"/>
          <w:rtl/>
        </w:rPr>
        <w:t xml:space="preserve"> </w:t>
      </w:r>
      <w:r w:rsidRPr="008E7540">
        <w:rPr>
          <w:rFonts w:cs="B Mitra"/>
          <w:i/>
          <w:iCs/>
          <w:sz w:val="20"/>
        </w:rPr>
        <w:t>and consequences (pp. 363–378). Mahwah, NJ: Lawrence Erlbaum Associates.</w:t>
      </w:r>
    </w:p>
    <w:p w14:paraId="7C1C7E93" w14:textId="77777777" w:rsidR="001769C7" w:rsidRPr="008E7540" w:rsidRDefault="001769C7" w:rsidP="008E7540">
      <w:pPr>
        <w:pStyle w:val="BodyText"/>
        <w:spacing w:after="120"/>
        <w:ind w:left="-2"/>
        <w:jc w:val="lowKashida"/>
        <w:rPr>
          <w:rFonts w:cs="B Mitra"/>
          <w:i/>
          <w:iCs/>
          <w:sz w:val="20"/>
        </w:rPr>
      </w:pPr>
      <w:r w:rsidRPr="008E7540">
        <w:rPr>
          <w:rFonts w:cs="B Mitra"/>
          <w:i/>
          <w:iCs/>
          <w:sz w:val="20"/>
        </w:rPr>
        <w:t xml:space="preserve">Cordova, D. I., &amp; Lepper, M. R. (1996). Intrinsic motivation and the process of learning: Beneficial effects of contextualization, personalization, and </w:t>
      </w:r>
      <w:proofErr w:type="spellStart"/>
      <w:r w:rsidRPr="008E7540">
        <w:rPr>
          <w:rFonts w:cs="B Mitra"/>
          <w:i/>
          <w:iCs/>
          <w:sz w:val="20"/>
        </w:rPr>
        <w:t>choice.Journal</w:t>
      </w:r>
      <w:proofErr w:type="spellEnd"/>
      <w:r w:rsidRPr="008E7540">
        <w:rPr>
          <w:rFonts w:cs="B Mitra"/>
          <w:i/>
          <w:iCs/>
          <w:sz w:val="20"/>
        </w:rPr>
        <w:t xml:space="preserve"> of Educational Psychology,88, 715-730.</w:t>
      </w:r>
    </w:p>
    <w:p w14:paraId="6C30C164" w14:textId="77777777" w:rsidR="001769C7" w:rsidRPr="008E7540" w:rsidRDefault="001769C7" w:rsidP="008E7540">
      <w:pPr>
        <w:pStyle w:val="BodyText"/>
        <w:spacing w:after="120"/>
        <w:ind w:left="-2"/>
        <w:jc w:val="lowKashida"/>
        <w:rPr>
          <w:rFonts w:cs="B Mitra"/>
          <w:i/>
          <w:iCs/>
          <w:sz w:val="20"/>
        </w:rPr>
      </w:pPr>
      <w:r w:rsidRPr="008E7540">
        <w:rPr>
          <w:rFonts w:cs="B Mitra"/>
          <w:i/>
          <w:iCs/>
          <w:sz w:val="20"/>
        </w:rPr>
        <w:t>de Freitas, S. &amp; Oliver, M. (2006). How can exploratory learning with games and simulations within the curriculum be most effectively evaluated? Computers and Education,46, 249–264.</w:t>
      </w:r>
    </w:p>
    <w:p w14:paraId="2577FA10" w14:textId="77777777" w:rsidR="001769C7" w:rsidRPr="008E7540" w:rsidRDefault="001769C7" w:rsidP="008E7540">
      <w:pPr>
        <w:pStyle w:val="BodyText"/>
        <w:spacing w:after="120"/>
        <w:ind w:left="-2"/>
        <w:jc w:val="lowKashida"/>
        <w:rPr>
          <w:rFonts w:cs="B Mitra"/>
          <w:i/>
          <w:iCs/>
          <w:sz w:val="20"/>
        </w:rPr>
      </w:pPr>
      <w:r w:rsidRPr="008E7540">
        <w:rPr>
          <w:rFonts w:cs="B Mitra"/>
          <w:i/>
          <w:iCs/>
          <w:sz w:val="20"/>
        </w:rPr>
        <w:t>Kapp, Karl M.(2012). The Gamification of Learning and Instruction Game-Based Methods and Strategies for Training and Education, San Francisco, Pfeiffer.</w:t>
      </w:r>
    </w:p>
    <w:p w14:paraId="06C0FE79" w14:textId="77777777" w:rsidR="001769C7" w:rsidRPr="008E7540" w:rsidRDefault="001769C7" w:rsidP="008E7540">
      <w:pPr>
        <w:pStyle w:val="BodyText"/>
        <w:spacing w:after="120"/>
        <w:ind w:left="-2"/>
        <w:jc w:val="lowKashida"/>
        <w:rPr>
          <w:rFonts w:cs="B Mitra"/>
          <w:i/>
          <w:iCs/>
          <w:sz w:val="20"/>
        </w:rPr>
      </w:pPr>
      <w:r w:rsidRPr="008E7540">
        <w:rPr>
          <w:rFonts w:cs="B Mitra"/>
          <w:i/>
          <w:iCs/>
          <w:sz w:val="20"/>
        </w:rPr>
        <w:t xml:space="preserve">Keller, J.M. (1983). Motivational Design of </w:t>
      </w:r>
      <w:proofErr w:type="spellStart"/>
      <w:r w:rsidRPr="008E7540">
        <w:rPr>
          <w:rFonts w:cs="B Mitra"/>
          <w:i/>
          <w:iCs/>
          <w:sz w:val="20"/>
        </w:rPr>
        <w:t>Instruction.In</w:t>
      </w:r>
      <w:proofErr w:type="spellEnd"/>
      <w:r w:rsidRPr="008E7540">
        <w:rPr>
          <w:rFonts w:cs="B Mitra"/>
          <w:i/>
          <w:iCs/>
          <w:sz w:val="20"/>
        </w:rPr>
        <w:t xml:space="preserve">: </w:t>
      </w:r>
      <w:proofErr w:type="spellStart"/>
      <w:r w:rsidRPr="008E7540">
        <w:rPr>
          <w:rFonts w:cs="B Mitra"/>
          <w:i/>
          <w:iCs/>
          <w:sz w:val="20"/>
        </w:rPr>
        <w:t>Reigeluth</w:t>
      </w:r>
      <w:proofErr w:type="spellEnd"/>
      <w:r w:rsidRPr="008E7540">
        <w:rPr>
          <w:rFonts w:cs="B Mitra"/>
          <w:i/>
          <w:iCs/>
          <w:sz w:val="20"/>
        </w:rPr>
        <w:t xml:space="preserve">, C.M. (ed.) Instructional Design Theories and Models: An Overview of Their Current Status. </w:t>
      </w:r>
      <w:proofErr w:type="spellStart"/>
      <w:r w:rsidRPr="008E7540">
        <w:rPr>
          <w:rFonts w:cs="B Mitra"/>
          <w:i/>
          <w:iCs/>
          <w:sz w:val="20"/>
        </w:rPr>
        <w:t>Erlbalum</w:t>
      </w:r>
      <w:proofErr w:type="spellEnd"/>
      <w:r w:rsidRPr="008E7540">
        <w:rPr>
          <w:rFonts w:cs="B Mitra"/>
          <w:i/>
          <w:iCs/>
          <w:sz w:val="20"/>
        </w:rPr>
        <w:t>, Hillsdale.</w:t>
      </w:r>
    </w:p>
    <w:p w14:paraId="34EF2673" w14:textId="77777777" w:rsidR="001769C7" w:rsidRPr="008E7540" w:rsidRDefault="001769C7" w:rsidP="008E7540">
      <w:pPr>
        <w:pStyle w:val="BodyText"/>
        <w:spacing w:after="120"/>
        <w:ind w:left="-2"/>
        <w:jc w:val="lowKashida"/>
        <w:rPr>
          <w:rFonts w:cs="B Mitra"/>
          <w:i/>
          <w:iCs/>
          <w:sz w:val="20"/>
        </w:rPr>
      </w:pPr>
      <w:proofErr w:type="spellStart"/>
      <w:r w:rsidRPr="008E7540">
        <w:rPr>
          <w:rFonts w:cs="B Mitra"/>
          <w:i/>
          <w:iCs/>
          <w:sz w:val="20"/>
        </w:rPr>
        <w:t>Keller,j.M</w:t>
      </w:r>
      <w:proofErr w:type="spellEnd"/>
      <w:r w:rsidRPr="008E7540">
        <w:rPr>
          <w:rFonts w:cs="B Mitra"/>
          <w:i/>
          <w:iCs/>
          <w:sz w:val="20"/>
        </w:rPr>
        <w:t xml:space="preserve">.(2013).Motivational Design for Learning and </w:t>
      </w:r>
      <w:proofErr w:type="spellStart"/>
      <w:r w:rsidRPr="008E7540">
        <w:rPr>
          <w:rFonts w:cs="B Mitra"/>
          <w:i/>
          <w:iCs/>
          <w:sz w:val="20"/>
        </w:rPr>
        <w:t>Performanc</w:t>
      </w:r>
      <w:proofErr w:type="spellEnd"/>
      <w:r w:rsidRPr="008E7540">
        <w:rPr>
          <w:rFonts w:cs="B Mitra"/>
          <w:i/>
          <w:iCs/>
          <w:sz w:val="20"/>
        </w:rPr>
        <w:t>, Springer Science Business Media, LLC.</w:t>
      </w:r>
    </w:p>
    <w:p w14:paraId="55A2CFFC" w14:textId="77777777" w:rsidR="001769C7" w:rsidRPr="008E7540" w:rsidRDefault="001769C7" w:rsidP="008E7540">
      <w:pPr>
        <w:pStyle w:val="BodyText"/>
        <w:spacing w:after="120"/>
        <w:ind w:left="-2"/>
        <w:jc w:val="lowKashida"/>
        <w:rPr>
          <w:rFonts w:cs="B Mitra"/>
          <w:i/>
          <w:iCs/>
          <w:sz w:val="20"/>
          <w:rtl/>
        </w:rPr>
      </w:pPr>
      <w:r w:rsidRPr="008E7540">
        <w:rPr>
          <w:rFonts w:cs="B Mitra"/>
          <w:i/>
          <w:iCs/>
          <w:sz w:val="20"/>
        </w:rPr>
        <w:t xml:space="preserve">Lepper, M. R., &amp; Malone, T. W. (1987). Intrinsic Motivation and Instructional Effectiveness in Computer-Based Education. In R. E. Snow &amp; M. J. Farr (Eds.), Aptitude, Learning and Instruction: III. Conative and affective process analyses(pp. 255-286). </w:t>
      </w:r>
      <w:proofErr w:type="spellStart"/>
      <w:r w:rsidRPr="008E7540">
        <w:rPr>
          <w:rFonts w:cs="B Mitra"/>
          <w:i/>
          <w:iCs/>
          <w:sz w:val="20"/>
        </w:rPr>
        <w:t>Hilsdale</w:t>
      </w:r>
      <w:proofErr w:type="spellEnd"/>
      <w:r w:rsidRPr="008E7540">
        <w:rPr>
          <w:rFonts w:cs="B Mitra"/>
          <w:i/>
          <w:iCs/>
          <w:sz w:val="20"/>
        </w:rPr>
        <w:t>, NJ: Erlbaum</w:t>
      </w:r>
    </w:p>
    <w:p w14:paraId="6211D7F4" w14:textId="77777777" w:rsidR="001769C7" w:rsidRPr="008E7540" w:rsidRDefault="001769C7" w:rsidP="008E7540">
      <w:pPr>
        <w:pStyle w:val="BodyText"/>
        <w:spacing w:after="120"/>
        <w:ind w:left="-2"/>
        <w:jc w:val="lowKashida"/>
        <w:rPr>
          <w:rFonts w:cs="B Mitra"/>
          <w:i/>
          <w:iCs/>
          <w:sz w:val="20"/>
        </w:rPr>
      </w:pPr>
      <w:r w:rsidRPr="008E7540">
        <w:rPr>
          <w:rFonts w:cs="B Mitra"/>
          <w:i/>
          <w:iCs/>
          <w:sz w:val="20"/>
        </w:rPr>
        <w:lastRenderedPageBreak/>
        <w:t>Malone, T.W., &amp; Lepper, M.R. (1987). Making learning fun: A taxonomy of intrinsic motivations for learning. In R.E. Snow &amp; M.J. Farr (Eds.), Aptitude, learning, and instruction: Cognitive and affective process analysis (vol.3, pp. 223-253). Hillsdale, NJ: Erlbaum</w:t>
      </w:r>
    </w:p>
    <w:p w14:paraId="61968A93" w14:textId="77777777" w:rsidR="001769C7" w:rsidRPr="008E7540" w:rsidRDefault="001769C7" w:rsidP="008E7540">
      <w:pPr>
        <w:pStyle w:val="BodyText"/>
        <w:spacing w:after="120"/>
        <w:ind w:left="-2"/>
        <w:jc w:val="lowKashida"/>
        <w:rPr>
          <w:rFonts w:cs="B Mitra"/>
          <w:i/>
          <w:iCs/>
          <w:sz w:val="20"/>
        </w:rPr>
      </w:pPr>
      <w:proofErr w:type="spellStart"/>
      <w:r w:rsidRPr="008E7540">
        <w:rPr>
          <w:rFonts w:cs="B Mitra"/>
          <w:i/>
          <w:iCs/>
          <w:sz w:val="20"/>
        </w:rPr>
        <w:t>Oblinger</w:t>
      </w:r>
      <w:proofErr w:type="spellEnd"/>
      <w:r w:rsidRPr="008E7540">
        <w:rPr>
          <w:rFonts w:cs="B Mitra"/>
          <w:i/>
          <w:iCs/>
          <w:sz w:val="20"/>
        </w:rPr>
        <w:t>, D. (2004). The Next Generation of Educational Engagement. Journal of Interactive Media in Education, 2004 (8), 1-18</w:t>
      </w:r>
    </w:p>
    <w:p w14:paraId="674F088F" w14:textId="77777777" w:rsidR="001769C7" w:rsidRPr="008E7540" w:rsidRDefault="001769C7" w:rsidP="008E7540">
      <w:pPr>
        <w:pStyle w:val="BodyText"/>
        <w:spacing w:after="120"/>
        <w:ind w:left="-2"/>
        <w:jc w:val="lowKashida"/>
        <w:rPr>
          <w:rFonts w:cs="B Mitra"/>
          <w:i/>
          <w:iCs/>
          <w:sz w:val="20"/>
        </w:rPr>
      </w:pPr>
      <w:r w:rsidRPr="008E7540">
        <w:rPr>
          <w:rFonts w:cs="B Mitra"/>
          <w:i/>
          <w:iCs/>
          <w:sz w:val="20"/>
        </w:rPr>
        <w:t xml:space="preserve">Song, </w:t>
      </w:r>
      <w:proofErr w:type="spellStart"/>
      <w:r w:rsidRPr="008E7540">
        <w:rPr>
          <w:rFonts w:cs="B Mitra"/>
          <w:i/>
          <w:iCs/>
          <w:sz w:val="20"/>
        </w:rPr>
        <w:t>Minzhu</w:t>
      </w:r>
      <w:proofErr w:type="spellEnd"/>
      <w:r w:rsidRPr="008E7540">
        <w:rPr>
          <w:rFonts w:cs="B Mitra"/>
          <w:i/>
          <w:iCs/>
          <w:sz w:val="20"/>
        </w:rPr>
        <w:t xml:space="preserve"> &amp; Zhang, </w:t>
      </w:r>
      <w:proofErr w:type="spellStart"/>
      <w:r w:rsidRPr="008E7540">
        <w:rPr>
          <w:rFonts w:cs="B Mitra"/>
          <w:i/>
          <w:iCs/>
          <w:sz w:val="20"/>
        </w:rPr>
        <w:t>Sujing</w:t>
      </w:r>
      <w:proofErr w:type="spellEnd"/>
      <w:r w:rsidRPr="008E7540">
        <w:rPr>
          <w:rFonts w:cs="B Mitra"/>
          <w:i/>
          <w:iCs/>
          <w:sz w:val="20"/>
        </w:rPr>
        <w:t>. (2008). Technologies for E-Learning and Digital Entertainment, Third International Conference, Edutainment, Nanjing, China, June 25-27.</w:t>
      </w:r>
    </w:p>
    <w:p w14:paraId="5E084A03" w14:textId="77777777" w:rsidR="001769C7" w:rsidRPr="008E7540" w:rsidRDefault="001769C7" w:rsidP="008E7540">
      <w:pPr>
        <w:pStyle w:val="BodyText"/>
        <w:spacing w:after="120"/>
        <w:ind w:left="-2"/>
        <w:jc w:val="lowKashida"/>
        <w:rPr>
          <w:rFonts w:cs="B Mitra"/>
          <w:i/>
          <w:iCs/>
          <w:sz w:val="20"/>
        </w:rPr>
      </w:pPr>
      <w:r w:rsidRPr="008E7540">
        <w:rPr>
          <w:rFonts w:cs="B Mitra"/>
          <w:i/>
          <w:iCs/>
          <w:sz w:val="20"/>
        </w:rPr>
        <w:t>Squire, K. (2003). Video games in education. International Journal of Intelligent Simulations and Gaming, Vol. 2, No. 1, pp. 49–62.</w:t>
      </w:r>
    </w:p>
    <w:p w14:paraId="7F0C3CC9" w14:textId="77777777" w:rsidR="001769C7" w:rsidRPr="008E7540" w:rsidRDefault="001769C7" w:rsidP="008E7540">
      <w:pPr>
        <w:pStyle w:val="BodyText"/>
        <w:spacing w:after="120"/>
        <w:ind w:left="-2"/>
        <w:jc w:val="lowKashida"/>
        <w:rPr>
          <w:rFonts w:cs="B Mitra"/>
          <w:i/>
          <w:iCs/>
          <w:sz w:val="20"/>
        </w:rPr>
      </w:pPr>
      <w:proofErr w:type="spellStart"/>
      <w:r w:rsidRPr="008E7540">
        <w:rPr>
          <w:rFonts w:cs="B Mitra"/>
          <w:i/>
          <w:iCs/>
          <w:sz w:val="20"/>
        </w:rPr>
        <w:t>Squire,L.R</w:t>
      </w:r>
      <w:proofErr w:type="spellEnd"/>
      <w:r w:rsidRPr="008E7540">
        <w:rPr>
          <w:rFonts w:cs="B Mitra"/>
          <w:i/>
          <w:iCs/>
          <w:sz w:val="20"/>
        </w:rPr>
        <w:t xml:space="preserve">, &amp; </w:t>
      </w:r>
      <w:proofErr w:type="spellStart"/>
      <w:r w:rsidRPr="008E7540">
        <w:rPr>
          <w:rFonts w:cs="B Mitra"/>
          <w:i/>
          <w:iCs/>
          <w:sz w:val="20"/>
        </w:rPr>
        <w:t>Kandel,E,R</w:t>
      </w:r>
      <w:proofErr w:type="spellEnd"/>
      <w:r w:rsidRPr="008E7540">
        <w:rPr>
          <w:rFonts w:cs="B Mitra"/>
          <w:i/>
          <w:iCs/>
          <w:sz w:val="20"/>
        </w:rPr>
        <w:t>. (2000). Memory: From mind to molecules. New York, NY: Scientific American Library.</w:t>
      </w:r>
    </w:p>
    <w:p w14:paraId="1384FA36" w14:textId="77777777" w:rsidR="001769C7" w:rsidRPr="008E7540" w:rsidRDefault="001769C7" w:rsidP="008E7540">
      <w:pPr>
        <w:pStyle w:val="BodyText"/>
        <w:spacing w:after="120"/>
        <w:ind w:left="-2"/>
        <w:jc w:val="lowKashida"/>
        <w:rPr>
          <w:rFonts w:cs="B Mitra"/>
          <w:i/>
          <w:iCs/>
          <w:sz w:val="20"/>
        </w:rPr>
      </w:pPr>
      <w:r w:rsidRPr="008E7540">
        <w:rPr>
          <w:rFonts w:cs="B Mitra"/>
          <w:i/>
          <w:iCs/>
          <w:sz w:val="20"/>
        </w:rPr>
        <w:t xml:space="preserve">Tang, S., </w:t>
      </w:r>
      <w:proofErr w:type="spellStart"/>
      <w:r w:rsidRPr="008E7540">
        <w:rPr>
          <w:rFonts w:cs="B Mitra"/>
          <w:i/>
          <w:iCs/>
          <w:sz w:val="20"/>
        </w:rPr>
        <w:t>Hanneghan</w:t>
      </w:r>
      <w:proofErr w:type="spellEnd"/>
      <w:r w:rsidRPr="008E7540">
        <w:rPr>
          <w:rFonts w:cs="B Mitra"/>
          <w:i/>
          <w:iCs/>
          <w:sz w:val="20"/>
        </w:rPr>
        <w:t xml:space="preserve">, M., &amp; </w:t>
      </w:r>
      <w:proofErr w:type="spellStart"/>
      <w:r w:rsidRPr="008E7540">
        <w:rPr>
          <w:rFonts w:cs="B Mitra"/>
          <w:i/>
          <w:iCs/>
          <w:sz w:val="20"/>
        </w:rPr>
        <w:t>Rhalibi</w:t>
      </w:r>
      <w:proofErr w:type="spellEnd"/>
      <w:r w:rsidRPr="008E7540">
        <w:rPr>
          <w:rFonts w:cs="B Mitra"/>
          <w:i/>
          <w:iCs/>
          <w:sz w:val="20"/>
        </w:rPr>
        <w:t xml:space="preserve">, A. E. (2009). Introduction to game-based learning. In T. </w:t>
      </w:r>
      <w:proofErr w:type="spellStart"/>
      <w:r w:rsidRPr="008E7540">
        <w:rPr>
          <w:rFonts w:cs="B Mitra"/>
          <w:i/>
          <w:iCs/>
          <w:sz w:val="20"/>
        </w:rPr>
        <w:t>Conoolly</w:t>
      </w:r>
      <w:proofErr w:type="spellEnd"/>
      <w:r w:rsidRPr="008E7540">
        <w:rPr>
          <w:rFonts w:cs="B Mitra"/>
          <w:i/>
          <w:iCs/>
          <w:sz w:val="20"/>
        </w:rPr>
        <w:t>, M. Stansfield &amp; L. Boyle (Eds.), Game-based advancements for multi-sensory human computer interfaces: Techniques and effective practices (pp. 1–17). Hershey, NY: Information Science Reference</w:t>
      </w:r>
    </w:p>
    <w:p w14:paraId="6F7FA196" w14:textId="77777777" w:rsidR="001769C7" w:rsidRPr="002543B7" w:rsidRDefault="001769C7" w:rsidP="001769C7">
      <w:pPr>
        <w:ind w:left="470" w:hangingChars="196" w:hanging="470"/>
        <w:rPr>
          <w:rFonts w:asciiTheme="majorHAnsi" w:hAnsiTheme="majorHAnsi" w:cs="B Nazanin"/>
          <w:rtl/>
          <w:lang w:bidi="fa-IR"/>
        </w:rPr>
      </w:pPr>
    </w:p>
    <w:p w14:paraId="0E66EBA2" w14:textId="77777777" w:rsidR="001769C7" w:rsidRPr="003B022A" w:rsidRDefault="001769C7" w:rsidP="001769C7">
      <w:pPr>
        <w:jc w:val="both"/>
        <w:rPr>
          <w:rtl/>
          <w:lang w:bidi="fa-IR"/>
        </w:rPr>
      </w:pPr>
    </w:p>
    <w:p w14:paraId="1D6A6E4F" w14:textId="77777777" w:rsidR="001769C7" w:rsidRDefault="001769C7" w:rsidP="001769C7">
      <w:pPr>
        <w:bidi/>
        <w:jc w:val="both"/>
      </w:pPr>
    </w:p>
    <w:p w14:paraId="3DE2170F" w14:textId="13D468A8" w:rsidR="007A41CC" w:rsidRPr="00FA2FE8" w:rsidRDefault="007A41CC" w:rsidP="00FA2FE8"/>
    <w:sectPr w:rsidR="007A41CC" w:rsidRPr="00FA2FE8" w:rsidSect="00247DAD">
      <w:headerReference w:type="default" r:id="rId9"/>
      <w:footerReference w:type="even" r:id="rId10"/>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2A790" w14:textId="77777777" w:rsidR="009D7F41" w:rsidRDefault="009D7F41">
      <w:r>
        <w:separator/>
      </w:r>
    </w:p>
  </w:endnote>
  <w:endnote w:type="continuationSeparator" w:id="0">
    <w:p w14:paraId="75C41D36" w14:textId="77777777" w:rsidR="009D7F41" w:rsidRDefault="009D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rial Unicode MS">
    <w:altName w:val="Yu Gothic"/>
    <w:panose1 w:val="020B0604020202020204"/>
    <w:charset w:val="80"/>
    <w:family w:val="swiss"/>
    <w:pitch w:val="variable"/>
    <w:sig w:usb0="F7FFAFFF" w:usb1="E9DFFFFF" w:usb2="0000003F" w:usb3="00000000" w:csb0="003F01FF" w:csb1="00000000"/>
  </w:font>
  <w:font w:name="B Lotus">
    <w:panose1 w:val="00000400000000000000"/>
    <w:charset w:val="B2"/>
    <w:family w:val="auto"/>
    <w:pitch w:val="variable"/>
    <w:sig w:usb0="00002001" w:usb1="80000000" w:usb2="00000008" w:usb3="00000000" w:csb0="00000040"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D304" w14:textId="77777777"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6B25AE" w14:textId="77777777" w:rsidR="0018674B" w:rsidRDefault="00186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44E0D" w14:textId="77777777" w:rsidR="009D7F41" w:rsidRDefault="009D7F41">
      <w:r>
        <w:separator/>
      </w:r>
    </w:p>
  </w:footnote>
  <w:footnote w:type="continuationSeparator" w:id="0">
    <w:p w14:paraId="197014F0" w14:textId="77777777" w:rsidR="009D7F41" w:rsidRDefault="009D7F41">
      <w:r>
        <w:continuationSeparator/>
      </w:r>
    </w:p>
  </w:footnote>
  <w:footnote w:id="1">
    <w:p w14:paraId="07F8CB28" w14:textId="77777777" w:rsidR="009F5735" w:rsidRPr="003345C8" w:rsidRDefault="009F5735" w:rsidP="009F5735">
      <w:pPr>
        <w:pStyle w:val="FootnoteText"/>
        <w:rPr>
          <w:rFonts w:asciiTheme="majorBidi" w:hAnsiTheme="majorBidi" w:cstheme="majorBidi"/>
        </w:rPr>
      </w:pPr>
      <w:r w:rsidRPr="003345C8">
        <w:rPr>
          <w:rStyle w:val="FootnoteReference"/>
          <w:rFonts w:asciiTheme="majorBidi" w:hAnsiTheme="majorBidi" w:cstheme="majorBidi"/>
        </w:rPr>
        <w:footnoteRef/>
      </w:r>
      <w:r w:rsidRPr="003345C8">
        <w:rPr>
          <w:rFonts w:asciiTheme="majorBidi" w:hAnsiTheme="majorBidi" w:cstheme="majorBidi"/>
          <w:rtl/>
        </w:rPr>
        <w:t xml:space="preserve"> </w:t>
      </w:r>
      <w:r w:rsidRPr="003345C8">
        <w:rPr>
          <w:rFonts w:asciiTheme="majorBidi" w:hAnsiTheme="majorBidi" w:cstheme="majorBidi"/>
        </w:rPr>
        <w:t>Prensky</w:t>
      </w:r>
    </w:p>
  </w:footnote>
  <w:footnote w:id="2">
    <w:p w14:paraId="6E967F2A" w14:textId="77777777" w:rsidR="009F5735" w:rsidRDefault="009F5735" w:rsidP="009F5735">
      <w:pPr>
        <w:pStyle w:val="FootnoteText"/>
        <w:rPr>
          <w:rtl/>
          <w:lang w:bidi="fa-IR"/>
        </w:rPr>
      </w:pPr>
      <w:r>
        <w:rPr>
          <w:rStyle w:val="FootnoteReference"/>
          <w:rFonts w:eastAsiaTheme="majorEastAsia"/>
        </w:rPr>
        <w:footnoteRef/>
      </w:r>
      <w:r>
        <w:t xml:space="preserve"> </w:t>
      </w:r>
      <w:r w:rsidRPr="002B7F0B">
        <w:t>Perrotta</w:t>
      </w:r>
    </w:p>
  </w:footnote>
  <w:footnote w:id="3">
    <w:p w14:paraId="1E9972F5" w14:textId="77777777" w:rsidR="009F5735" w:rsidRPr="003345C8" w:rsidRDefault="009F5735" w:rsidP="009F5735">
      <w:pPr>
        <w:pStyle w:val="FootnoteText"/>
        <w:rPr>
          <w:rFonts w:asciiTheme="majorBidi" w:hAnsiTheme="majorBidi" w:cstheme="majorBidi"/>
        </w:rPr>
      </w:pPr>
      <w:r w:rsidRPr="003345C8">
        <w:rPr>
          <w:rStyle w:val="FootnoteReference"/>
          <w:rFonts w:asciiTheme="majorBidi" w:hAnsiTheme="majorBidi" w:cstheme="majorBidi"/>
        </w:rPr>
        <w:footnoteRef/>
      </w:r>
      <w:r>
        <w:rPr>
          <w:rFonts w:asciiTheme="majorBidi" w:hAnsiTheme="majorBidi" w:cstheme="majorBidi" w:hint="cs"/>
          <w:rtl/>
        </w:rPr>
        <w:t xml:space="preserve"> </w:t>
      </w:r>
      <w:proofErr w:type="spellStart"/>
      <w:r w:rsidRPr="003345C8">
        <w:rPr>
          <w:rFonts w:asciiTheme="majorBidi" w:hAnsiTheme="majorBidi" w:cstheme="majorBidi"/>
        </w:rPr>
        <w:t>Farlane</w:t>
      </w:r>
      <w:proofErr w:type="spellEnd"/>
      <w:r w:rsidRPr="003345C8">
        <w:rPr>
          <w:rFonts w:asciiTheme="majorBidi" w:hAnsiTheme="majorBidi" w:cstheme="majorBidi"/>
          <w:rtl/>
        </w:rPr>
        <w:t xml:space="preserve"> </w:t>
      </w:r>
    </w:p>
  </w:footnote>
  <w:footnote w:id="4">
    <w:p w14:paraId="7FDBEEDA" w14:textId="77777777" w:rsidR="009F5735" w:rsidRPr="003345C8" w:rsidRDefault="009F5735" w:rsidP="009F5735">
      <w:pPr>
        <w:pStyle w:val="FootnoteText"/>
        <w:rPr>
          <w:rFonts w:asciiTheme="majorBidi" w:hAnsiTheme="majorBidi" w:cstheme="majorBidi"/>
        </w:rPr>
      </w:pPr>
      <w:r w:rsidRPr="003345C8">
        <w:rPr>
          <w:rStyle w:val="FootnoteReference"/>
          <w:rFonts w:asciiTheme="majorBidi" w:hAnsiTheme="majorBidi" w:cstheme="majorBidi"/>
        </w:rPr>
        <w:footnoteRef/>
      </w:r>
      <w:r w:rsidRPr="003345C8">
        <w:rPr>
          <w:rFonts w:asciiTheme="majorBidi" w:hAnsiTheme="majorBidi" w:cstheme="majorBidi"/>
          <w:rtl/>
        </w:rPr>
        <w:t xml:space="preserve"> </w:t>
      </w:r>
      <w:proofErr w:type="spellStart"/>
      <w:r w:rsidRPr="003345C8">
        <w:rPr>
          <w:rFonts w:asciiTheme="majorBidi" w:hAnsiTheme="majorBidi" w:cstheme="majorBidi"/>
        </w:rPr>
        <w:t>Botturi</w:t>
      </w:r>
      <w:proofErr w:type="spellEnd"/>
      <w:r w:rsidRPr="003345C8">
        <w:rPr>
          <w:rFonts w:asciiTheme="majorBidi" w:hAnsiTheme="majorBidi" w:cstheme="majorBidi"/>
          <w:rtl/>
        </w:rPr>
        <w:t xml:space="preserve">&amp; </w:t>
      </w:r>
      <w:r w:rsidRPr="003345C8">
        <w:rPr>
          <w:rFonts w:asciiTheme="majorBidi" w:hAnsiTheme="majorBidi" w:cstheme="majorBidi"/>
        </w:rPr>
        <w:t xml:space="preserve"> </w:t>
      </w:r>
      <w:proofErr w:type="spellStart"/>
      <w:r w:rsidRPr="003345C8">
        <w:rPr>
          <w:rFonts w:asciiTheme="majorBidi" w:hAnsiTheme="majorBidi" w:cstheme="majorBidi"/>
        </w:rPr>
        <w:t>Loh</w:t>
      </w:r>
      <w:proofErr w:type="spellEnd"/>
    </w:p>
  </w:footnote>
  <w:footnote w:id="5">
    <w:p w14:paraId="336716D5" w14:textId="77777777" w:rsidR="009F5735" w:rsidRPr="003345C8" w:rsidRDefault="009F5735" w:rsidP="009F5735">
      <w:pPr>
        <w:pStyle w:val="FootnoteText"/>
        <w:rPr>
          <w:rFonts w:asciiTheme="majorBidi" w:hAnsiTheme="majorBidi" w:cstheme="majorBidi"/>
        </w:rPr>
      </w:pPr>
      <w:r w:rsidRPr="003345C8">
        <w:rPr>
          <w:rStyle w:val="FootnoteReference"/>
          <w:rFonts w:asciiTheme="majorBidi" w:hAnsiTheme="majorBidi" w:cstheme="majorBidi"/>
        </w:rPr>
        <w:footnoteRef/>
      </w:r>
      <w:r w:rsidRPr="003345C8">
        <w:rPr>
          <w:rFonts w:asciiTheme="majorBidi" w:hAnsiTheme="majorBidi" w:cstheme="majorBidi"/>
          <w:rtl/>
        </w:rPr>
        <w:t xml:space="preserve"> </w:t>
      </w:r>
      <w:proofErr w:type="spellStart"/>
      <w:r w:rsidRPr="003345C8">
        <w:rPr>
          <w:rFonts w:asciiTheme="majorBidi" w:hAnsiTheme="majorBidi" w:cstheme="majorBidi"/>
        </w:rPr>
        <w:t>Lacasa</w:t>
      </w:r>
      <w:proofErr w:type="spellEnd"/>
    </w:p>
  </w:footnote>
  <w:footnote w:id="6">
    <w:p w14:paraId="171698FB" w14:textId="77777777" w:rsidR="001769C7" w:rsidRPr="00910EB6" w:rsidRDefault="001769C7" w:rsidP="001769C7">
      <w:pPr>
        <w:pStyle w:val="FootnoteText"/>
        <w:rPr>
          <w:rFonts w:cs="Arial Unicode MS"/>
          <w:rtl/>
          <w:lang w:bidi="fa-IR"/>
        </w:rPr>
      </w:pPr>
      <w:r w:rsidRPr="00910EB6">
        <w:rPr>
          <w:rStyle w:val="FootnoteReference"/>
        </w:rPr>
        <w:footnoteRef/>
      </w:r>
      <w:r w:rsidRPr="00910EB6">
        <w:t xml:space="preserve"> </w:t>
      </w:r>
      <w:r w:rsidRPr="00910EB6">
        <w:rPr>
          <w:rFonts w:cs="B Lotus"/>
          <w:lang w:bidi="fa-IR"/>
        </w:rPr>
        <w:t>Siang</w:t>
      </w:r>
    </w:p>
  </w:footnote>
  <w:footnote w:id="7">
    <w:p w14:paraId="58F78536" w14:textId="77777777" w:rsidR="001769C7" w:rsidRDefault="001769C7" w:rsidP="001769C7">
      <w:pPr>
        <w:pStyle w:val="FootnoteText"/>
        <w:rPr>
          <w:lang w:bidi="fa-IR"/>
        </w:rPr>
      </w:pPr>
      <w:r>
        <w:rPr>
          <w:rStyle w:val="FootnoteReference"/>
        </w:rPr>
        <w:footnoteRef/>
      </w:r>
      <w:r>
        <w:rPr>
          <w:rtl/>
        </w:rPr>
        <w:t xml:space="preserve"> </w:t>
      </w:r>
      <w:r w:rsidRPr="00EB1356">
        <w:rPr>
          <w:rFonts w:cs="B Lotus"/>
          <w:lang w:bidi="fa-IR"/>
        </w:rPr>
        <w:t>Chee Siang</w:t>
      </w:r>
    </w:p>
  </w:footnote>
  <w:footnote w:id="8">
    <w:p w14:paraId="2ABE5304" w14:textId="77777777" w:rsidR="001769C7" w:rsidRPr="006A08DC" w:rsidRDefault="001769C7" w:rsidP="001769C7">
      <w:pPr>
        <w:pStyle w:val="FootnoteText"/>
        <w:rPr>
          <w:rFonts w:cs="Arial Unicode MS"/>
          <w:rtl/>
          <w:lang w:bidi="fa-IR"/>
        </w:rPr>
      </w:pPr>
      <w:r w:rsidRPr="00910EB6">
        <w:rPr>
          <w:rStyle w:val="FootnoteReference"/>
        </w:rPr>
        <w:footnoteRef/>
      </w:r>
      <w:r w:rsidRPr="00910EB6">
        <w:t xml:space="preserve"> </w:t>
      </w:r>
      <w:r w:rsidRPr="00910EB6">
        <w:rPr>
          <w:rFonts w:cs="B Lotus"/>
          <w:lang w:bidi="fa-IR"/>
        </w:rPr>
        <w:t>Hopson</w:t>
      </w:r>
    </w:p>
  </w:footnote>
  <w:footnote w:id="9">
    <w:p w14:paraId="62839798" w14:textId="77777777" w:rsidR="001769C7" w:rsidRPr="00810A0D" w:rsidRDefault="001769C7" w:rsidP="001769C7">
      <w:pPr>
        <w:pStyle w:val="FootnoteText"/>
        <w:rPr>
          <w:rFonts w:cs="Arial Unicode MS"/>
          <w:rtl/>
          <w:lang w:bidi="fa-IR"/>
        </w:rPr>
      </w:pPr>
      <w:r w:rsidRPr="00810A0D">
        <w:rPr>
          <w:rStyle w:val="FootnoteReference"/>
        </w:rPr>
        <w:footnoteRef/>
      </w:r>
      <w:r w:rsidRPr="00810A0D">
        <w:t xml:space="preserve"> </w:t>
      </w:r>
      <w:r>
        <w:t>Siang</w:t>
      </w:r>
    </w:p>
  </w:footnote>
  <w:footnote w:id="10">
    <w:p w14:paraId="6D5B8592" w14:textId="77777777" w:rsidR="001769C7" w:rsidRPr="00E26029" w:rsidRDefault="001769C7" w:rsidP="001769C7">
      <w:pPr>
        <w:pStyle w:val="FootnoteText"/>
        <w:rPr>
          <w:rFonts w:cs="Arial Unicode MS"/>
          <w:rtl/>
          <w:lang w:bidi="fa-IR"/>
        </w:rPr>
      </w:pPr>
      <w:r w:rsidRPr="00810A0D">
        <w:rPr>
          <w:rStyle w:val="FootnoteReference"/>
        </w:rPr>
        <w:footnoteRef/>
      </w:r>
      <w:r w:rsidRPr="00810A0D">
        <w:t xml:space="preserve"> </w:t>
      </w:r>
      <w:r w:rsidRPr="00810A0D">
        <w:rPr>
          <w:rFonts w:cs="B Lotus"/>
          <w:lang w:bidi="fa-IR"/>
        </w:rPr>
        <w:t>Grow</w:t>
      </w:r>
    </w:p>
  </w:footnote>
  <w:footnote w:id="11">
    <w:p w14:paraId="6B202CB2" w14:textId="77777777" w:rsidR="001769C7" w:rsidRDefault="001769C7" w:rsidP="001769C7">
      <w:pPr>
        <w:pStyle w:val="FootnoteText"/>
      </w:pPr>
      <w:r>
        <w:rPr>
          <w:rStyle w:val="FootnoteReference"/>
        </w:rPr>
        <w:footnoteRef/>
      </w:r>
      <w:r>
        <w:rPr>
          <w:rtl/>
        </w:rPr>
        <w:t xml:space="preserve"> </w:t>
      </w:r>
      <w:r>
        <w:t>Keller</w:t>
      </w:r>
    </w:p>
  </w:footnote>
  <w:footnote w:id="12">
    <w:p w14:paraId="4C5F8FD7" w14:textId="77777777" w:rsidR="001769C7" w:rsidRDefault="001769C7" w:rsidP="001769C7">
      <w:pPr>
        <w:pStyle w:val="FootnoteText"/>
        <w:rPr>
          <w:rtl/>
          <w:lang w:bidi="fa-IR"/>
        </w:rPr>
      </w:pPr>
      <w:r>
        <w:rPr>
          <w:rStyle w:val="FootnoteReference"/>
        </w:rPr>
        <w:footnoteRef/>
      </w:r>
      <w:r>
        <w:t xml:space="preserve"> </w:t>
      </w:r>
      <w:r w:rsidRPr="0084162C">
        <w:t>Attention</w:t>
      </w:r>
    </w:p>
  </w:footnote>
  <w:footnote w:id="13">
    <w:p w14:paraId="091E0998" w14:textId="77777777" w:rsidR="001769C7" w:rsidRDefault="001769C7" w:rsidP="001769C7">
      <w:pPr>
        <w:pStyle w:val="FootnoteText"/>
        <w:rPr>
          <w:rtl/>
          <w:lang w:bidi="fa-IR"/>
        </w:rPr>
      </w:pPr>
      <w:r>
        <w:rPr>
          <w:rStyle w:val="FootnoteReference"/>
        </w:rPr>
        <w:footnoteRef/>
      </w:r>
      <w:r>
        <w:t xml:space="preserve"> </w:t>
      </w:r>
      <w:r w:rsidRPr="0084162C">
        <w:t>Relevance</w:t>
      </w:r>
    </w:p>
  </w:footnote>
  <w:footnote w:id="14">
    <w:p w14:paraId="6062C191" w14:textId="77777777" w:rsidR="001769C7" w:rsidRDefault="001769C7" w:rsidP="001769C7">
      <w:pPr>
        <w:pStyle w:val="FootnoteText"/>
        <w:rPr>
          <w:rtl/>
          <w:lang w:bidi="fa-IR"/>
        </w:rPr>
      </w:pPr>
      <w:r>
        <w:rPr>
          <w:rStyle w:val="FootnoteReference"/>
        </w:rPr>
        <w:footnoteRef/>
      </w:r>
      <w:r>
        <w:t xml:space="preserve"> </w:t>
      </w:r>
      <w:r w:rsidRPr="0084162C">
        <w:t>Confidence</w:t>
      </w:r>
    </w:p>
  </w:footnote>
  <w:footnote w:id="15">
    <w:p w14:paraId="47A8BE1A" w14:textId="77777777" w:rsidR="001769C7" w:rsidRDefault="001769C7" w:rsidP="001769C7">
      <w:pPr>
        <w:pStyle w:val="FootnoteText"/>
        <w:rPr>
          <w:rtl/>
          <w:lang w:bidi="fa-IR"/>
        </w:rPr>
      </w:pPr>
      <w:r>
        <w:rPr>
          <w:rStyle w:val="FootnoteReference"/>
        </w:rPr>
        <w:footnoteRef/>
      </w:r>
      <w:r>
        <w:t xml:space="preserve"> </w:t>
      </w:r>
      <w:r w:rsidRPr="0084162C">
        <w:t>Satisfaction</w:t>
      </w:r>
    </w:p>
  </w:footnote>
  <w:footnote w:id="16">
    <w:p w14:paraId="2F91D0E6" w14:textId="77777777" w:rsidR="001769C7" w:rsidRDefault="001769C7" w:rsidP="001769C7">
      <w:pPr>
        <w:pStyle w:val="FootnoteText"/>
        <w:rPr>
          <w:lang w:bidi="fa-IR"/>
        </w:rPr>
      </w:pPr>
      <w:r>
        <w:rPr>
          <w:rStyle w:val="FootnoteReference"/>
        </w:rPr>
        <w:footnoteRef/>
      </w:r>
      <w:r>
        <w:t xml:space="preserve"> </w:t>
      </w:r>
      <w:r>
        <w:rPr>
          <w:lang w:bidi="fa-IR"/>
        </w:rPr>
        <w:t>Intrinsic motivation</w:t>
      </w:r>
    </w:p>
  </w:footnote>
  <w:footnote w:id="17">
    <w:p w14:paraId="0807DF26" w14:textId="77777777" w:rsidR="001769C7" w:rsidRDefault="001769C7" w:rsidP="001769C7">
      <w:pPr>
        <w:pStyle w:val="FootnoteText"/>
        <w:rPr>
          <w:rtl/>
          <w:lang w:bidi="fa-IR"/>
        </w:rPr>
      </w:pPr>
      <w:r>
        <w:rPr>
          <w:rStyle w:val="FootnoteReference"/>
        </w:rPr>
        <w:footnoteRef/>
      </w:r>
      <w:r>
        <w:t xml:space="preserve"> </w:t>
      </w:r>
      <w:r w:rsidRPr="00FA009C">
        <w:t>Malone</w:t>
      </w:r>
    </w:p>
  </w:footnote>
  <w:footnote w:id="18">
    <w:p w14:paraId="3108753F" w14:textId="77777777" w:rsidR="001769C7" w:rsidRDefault="001769C7" w:rsidP="001769C7">
      <w:pPr>
        <w:pStyle w:val="FootnoteText"/>
        <w:rPr>
          <w:rtl/>
        </w:rPr>
      </w:pPr>
      <w:r>
        <w:rPr>
          <w:rStyle w:val="FootnoteReference"/>
        </w:rPr>
        <w:footnoteRef/>
      </w:r>
      <w:r>
        <w:t xml:space="preserve"> </w:t>
      </w:r>
      <w:r>
        <w:t>variable difficulty level</w:t>
      </w:r>
    </w:p>
  </w:footnote>
  <w:footnote w:id="19">
    <w:p w14:paraId="2C86AD75" w14:textId="77777777" w:rsidR="001769C7" w:rsidRDefault="001769C7" w:rsidP="001769C7">
      <w:pPr>
        <w:pStyle w:val="FootnoteText"/>
        <w:rPr>
          <w:rtl/>
          <w:lang w:bidi="fa-IR"/>
        </w:rPr>
      </w:pPr>
      <w:r>
        <w:rPr>
          <w:rStyle w:val="FootnoteReference"/>
        </w:rPr>
        <w:footnoteRef/>
      </w:r>
      <w:r>
        <w:t xml:space="preserve"> </w:t>
      </w:r>
      <w:r w:rsidRPr="00466B37">
        <w:t>multiple level goals</w:t>
      </w:r>
    </w:p>
  </w:footnote>
  <w:footnote w:id="20">
    <w:p w14:paraId="45B9247D" w14:textId="77777777" w:rsidR="001769C7" w:rsidRDefault="001769C7" w:rsidP="001769C7">
      <w:pPr>
        <w:pStyle w:val="FootnoteText"/>
        <w:rPr>
          <w:rtl/>
          <w:lang w:bidi="fa-IR"/>
        </w:rPr>
      </w:pPr>
      <w:r>
        <w:rPr>
          <w:rStyle w:val="FootnoteReference"/>
        </w:rPr>
        <w:footnoteRef/>
      </w:r>
      <w:r>
        <w:t xml:space="preserve"> </w:t>
      </w:r>
      <w:r w:rsidRPr="00466B37">
        <w:t>hidden information</w:t>
      </w:r>
    </w:p>
  </w:footnote>
  <w:footnote w:id="21">
    <w:p w14:paraId="6AB9B815" w14:textId="77777777" w:rsidR="001769C7" w:rsidRDefault="001769C7" w:rsidP="001769C7">
      <w:pPr>
        <w:pStyle w:val="FootnoteText"/>
        <w:rPr>
          <w:rtl/>
          <w:lang w:bidi="fa-IR"/>
        </w:rPr>
      </w:pPr>
      <w:r>
        <w:rPr>
          <w:rStyle w:val="FootnoteReference"/>
        </w:rPr>
        <w:footnoteRef/>
      </w:r>
      <w:r>
        <w:t xml:space="preserve"> </w:t>
      </w:r>
      <w:r w:rsidRPr="00466B37">
        <w:t>randomness</w:t>
      </w:r>
    </w:p>
  </w:footnote>
  <w:footnote w:id="22">
    <w:p w14:paraId="71D7F450" w14:textId="77777777" w:rsidR="001769C7" w:rsidRDefault="001769C7" w:rsidP="001769C7">
      <w:pPr>
        <w:pStyle w:val="FootnoteText"/>
        <w:rPr>
          <w:rtl/>
        </w:rPr>
      </w:pPr>
      <w:r>
        <w:rPr>
          <w:rStyle w:val="FootnoteReference"/>
        </w:rPr>
        <w:footnoteRef/>
      </w:r>
      <w:r>
        <w:t xml:space="preserve"> </w:t>
      </w:r>
      <w:r>
        <w:t>Zone of Proximal Development</w:t>
      </w:r>
    </w:p>
  </w:footnote>
  <w:footnote w:id="23">
    <w:p w14:paraId="04C4967B" w14:textId="77777777" w:rsidR="001769C7" w:rsidRDefault="001769C7" w:rsidP="001769C7">
      <w:pPr>
        <w:pStyle w:val="FootnoteText"/>
        <w:rPr>
          <w:lang w:bidi="fa-IR"/>
        </w:rPr>
      </w:pPr>
      <w:r>
        <w:rPr>
          <w:rStyle w:val="FootnoteReference"/>
        </w:rPr>
        <w:footnoteRef/>
      </w:r>
      <w:r>
        <w:t xml:space="preserve"> </w:t>
      </w:r>
      <w:proofErr w:type="spellStart"/>
      <w:r>
        <w:rPr>
          <w:lang w:bidi="fa-IR"/>
        </w:rPr>
        <w:t>Gredler</w:t>
      </w:r>
      <w:proofErr w:type="spellEnd"/>
    </w:p>
  </w:footnote>
  <w:footnote w:id="24">
    <w:p w14:paraId="04CD9214" w14:textId="77777777" w:rsidR="001769C7" w:rsidRDefault="001769C7" w:rsidP="001769C7">
      <w:pPr>
        <w:pStyle w:val="FootnoteText"/>
        <w:rPr>
          <w:rtl/>
          <w:lang w:bidi="fa-IR"/>
        </w:rPr>
      </w:pPr>
      <w:r>
        <w:rPr>
          <w:rStyle w:val="FootnoteReference"/>
        </w:rPr>
        <w:footnoteRef/>
      </w:r>
      <w:r>
        <w:t xml:space="preserve"> </w:t>
      </w:r>
      <w:r w:rsidRPr="003E5487">
        <w:t>progressive disclosure</w:t>
      </w:r>
    </w:p>
  </w:footnote>
  <w:footnote w:id="25">
    <w:p w14:paraId="5D69AEE1" w14:textId="77777777" w:rsidR="001769C7" w:rsidRDefault="001769C7" w:rsidP="001769C7">
      <w:pPr>
        <w:pStyle w:val="FootnoteText"/>
        <w:rPr>
          <w:rtl/>
          <w:lang w:bidi="fa-IR"/>
        </w:rPr>
      </w:pPr>
      <w:r>
        <w:rPr>
          <w:rStyle w:val="FootnoteReference"/>
        </w:rPr>
        <w:footnoteRef/>
      </w:r>
      <w:r>
        <w:t xml:space="preserve"> </w:t>
      </w:r>
      <w:r w:rsidRPr="00A50042">
        <w:t>Cognitive Apprenticeship</w:t>
      </w:r>
    </w:p>
  </w:footnote>
  <w:footnote w:id="26">
    <w:p w14:paraId="3A66CE9F" w14:textId="77777777" w:rsidR="001769C7" w:rsidRDefault="001769C7" w:rsidP="001769C7">
      <w:pPr>
        <w:pStyle w:val="FootnoteText"/>
        <w:rPr>
          <w:lang w:bidi="fa-IR"/>
        </w:rPr>
      </w:pPr>
      <w:r>
        <w:rPr>
          <w:rStyle w:val="FootnoteReference"/>
        </w:rPr>
        <w:footnoteRef/>
      </w:r>
      <w:r>
        <w:rPr>
          <w:rtl/>
        </w:rPr>
        <w:t xml:space="preserve"> </w:t>
      </w:r>
      <w:r w:rsidRPr="00EB1356">
        <w:t>Thorndike</w:t>
      </w:r>
    </w:p>
  </w:footnote>
  <w:footnote w:id="27">
    <w:p w14:paraId="15117E49" w14:textId="77777777" w:rsidR="001769C7" w:rsidRDefault="001769C7" w:rsidP="001769C7">
      <w:pPr>
        <w:pStyle w:val="FootnoteText"/>
        <w:rPr>
          <w:rtl/>
          <w:lang w:bidi="fa-IR"/>
        </w:rPr>
      </w:pPr>
      <w:r>
        <w:rPr>
          <w:rStyle w:val="FootnoteReference"/>
        </w:rPr>
        <w:footnoteRef/>
      </w:r>
      <w:r>
        <w:t xml:space="preserve"> </w:t>
      </w:r>
      <w:r w:rsidRPr="00B378E0">
        <w:t>Social Learning Theory</w:t>
      </w:r>
    </w:p>
  </w:footnote>
  <w:footnote w:id="28">
    <w:p w14:paraId="5B2665CC" w14:textId="77777777" w:rsidR="001769C7" w:rsidRDefault="001769C7" w:rsidP="001769C7">
      <w:pPr>
        <w:pStyle w:val="FootnoteText"/>
        <w:rPr>
          <w:rtl/>
          <w:lang w:bidi="fa-IR"/>
        </w:rPr>
      </w:pPr>
      <w:r>
        <w:rPr>
          <w:rStyle w:val="FootnoteReference"/>
        </w:rPr>
        <w:footnoteRef/>
      </w:r>
      <w:r>
        <w:t xml:space="preserve"> </w:t>
      </w:r>
      <w:r w:rsidRPr="00D10867">
        <w:t>anthropomorphic agents</w:t>
      </w:r>
    </w:p>
  </w:footnote>
  <w:footnote w:id="29">
    <w:p w14:paraId="6B1C348C" w14:textId="77777777" w:rsidR="001769C7" w:rsidRDefault="001769C7" w:rsidP="001769C7">
      <w:pPr>
        <w:pStyle w:val="FootnoteText"/>
        <w:rPr>
          <w:rtl/>
          <w:lang w:bidi="fa-IR"/>
        </w:rPr>
      </w:pPr>
      <w:r>
        <w:rPr>
          <w:rStyle w:val="FootnoteReference"/>
        </w:rPr>
        <w:footnoteRef/>
      </w:r>
      <w:r>
        <w:t xml:space="preserve"> </w:t>
      </w:r>
      <w:r w:rsidRPr="00A85E58">
        <w:t>Buckley</w:t>
      </w:r>
      <w:r w:rsidRPr="00A85E58">
        <w:rPr>
          <w:rtl/>
        </w:rPr>
        <w:t xml:space="preserve"> </w:t>
      </w:r>
      <w:r w:rsidRPr="00A85E58">
        <w:t>&amp; Anderson</w:t>
      </w:r>
    </w:p>
  </w:footnote>
  <w:footnote w:id="30">
    <w:p w14:paraId="3418DF36" w14:textId="77777777" w:rsidR="001769C7" w:rsidRDefault="001769C7" w:rsidP="001769C7">
      <w:pPr>
        <w:pStyle w:val="FootnoteText"/>
        <w:rPr>
          <w:lang w:bidi="fa-IR"/>
        </w:rPr>
      </w:pPr>
      <w:r>
        <w:rPr>
          <w:rStyle w:val="FootnoteReference"/>
        </w:rPr>
        <w:footnoteRef/>
      </w:r>
      <w:r>
        <w:t xml:space="preserve"> </w:t>
      </w:r>
      <w:r>
        <w:t>Constructivism</w:t>
      </w:r>
    </w:p>
  </w:footnote>
  <w:footnote w:id="31">
    <w:p w14:paraId="3937FA4D" w14:textId="77777777" w:rsidR="001769C7" w:rsidRDefault="001769C7" w:rsidP="001769C7">
      <w:pPr>
        <w:pStyle w:val="FootnoteText"/>
        <w:rPr>
          <w:rtl/>
          <w:lang w:bidi="fa-IR"/>
        </w:rPr>
      </w:pPr>
      <w:r>
        <w:rPr>
          <w:rStyle w:val="FootnoteReference"/>
        </w:rPr>
        <w:footnoteRef/>
      </w:r>
      <w:r>
        <w:t xml:space="preserve"> </w:t>
      </w:r>
      <w:r>
        <w:t xml:space="preserve">Duffy &amp; Jonassen, </w:t>
      </w:r>
    </w:p>
  </w:footnote>
  <w:footnote w:id="32">
    <w:p w14:paraId="338A3417" w14:textId="77777777" w:rsidR="001769C7" w:rsidRDefault="001769C7" w:rsidP="001769C7">
      <w:pPr>
        <w:pStyle w:val="FootnoteText"/>
        <w:rPr>
          <w:lang w:bidi="fa-IR"/>
        </w:rPr>
      </w:pPr>
      <w:r>
        <w:rPr>
          <w:rStyle w:val="FootnoteReference"/>
        </w:rPr>
        <w:footnoteRef/>
      </w:r>
      <w:r>
        <w:rPr>
          <w:rtl/>
        </w:rPr>
        <w:t xml:space="preserve"> </w:t>
      </w:r>
      <w:proofErr w:type="spellStart"/>
      <w:r w:rsidRPr="008600AA">
        <w:t>catherine</w:t>
      </w:r>
      <w:proofErr w:type="spellEnd"/>
      <w:r w:rsidRPr="008600AA">
        <w:t xml:space="preserve"> </w:t>
      </w:r>
      <w:proofErr w:type="spellStart"/>
      <w:r w:rsidRPr="008600AA">
        <w:t>becker</w:t>
      </w:r>
      <w:proofErr w:type="spellEnd"/>
      <w:r>
        <w:rPr>
          <w:rFonts w:hint="cs"/>
          <w:rtl/>
        </w:rPr>
        <w:t xml:space="preserve"> </w:t>
      </w:r>
    </w:p>
  </w:footnote>
  <w:footnote w:id="33">
    <w:p w14:paraId="57FD2135" w14:textId="77777777" w:rsidR="001769C7" w:rsidRDefault="001769C7" w:rsidP="001769C7">
      <w:pPr>
        <w:pStyle w:val="FootnoteText"/>
        <w:rPr>
          <w:lang w:bidi="fa-IR"/>
        </w:rPr>
      </w:pPr>
      <w:r>
        <w:rPr>
          <w:rStyle w:val="FootnoteReference"/>
        </w:rPr>
        <w:footnoteRef/>
      </w:r>
      <w:r>
        <w:rPr>
          <w:rtl/>
        </w:rPr>
        <w:t xml:space="preserve"> </w:t>
      </w:r>
      <w:r>
        <w:rPr>
          <w:lang w:bidi="fa-IR"/>
        </w:rPr>
        <w:t>Jonassen</w:t>
      </w:r>
    </w:p>
  </w:footnote>
  <w:footnote w:id="34">
    <w:p w14:paraId="24EFD9B4" w14:textId="77777777" w:rsidR="001769C7" w:rsidRDefault="001769C7" w:rsidP="001769C7">
      <w:pPr>
        <w:pStyle w:val="FootnoteText"/>
        <w:rPr>
          <w:rtl/>
          <w:lang w:bidi="fa-IR"/>
        </w:rPr>
      </w:pPr>
      <w:r>
        <w:rPr>
          <w:rStyle w:val="FootnoteReference"/>
        </w:rPr>
        <w:footnoteRef/>
      </w:r>
      <w:r>
        <w:t xml:space="preserve"> </w:t>
      </w:r>
      <w:proofErr w:type="spellStart"/>
      <w:r w:rsidRPr="008A0C0F">
        <w:t>Schank</w:t>
      </w:r>
      <w:proofErr w:type="spellEnd"/>
      <w:r w:rsidRPr="008A0C0F">
        <w:t xml:space="preserve"> &amp; Cleary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CEE8" w14:textId="2CBC648D" w:rsidR="00FC73FE" w:rsidRDefault="003C49D0" w:rsidP="00E5325C">
    <w:pPr>
      <w:pStyle w:val="Header"/>
      <w:bidi/>
      <w:jc w:val="center"/>
      <w:rPr>
        <w:rFonts w:cs="B Titr"/>
        <w:noProof/>
        <w:sz w:val="28"/>
        <w:szCs w:val="28"/>
        <w:rtl/>
        <w:lang w:bidi="fa-IR"/>
      </w:rPr>
    </w:pPr>
    <w:r>
      <w:rPr>
        <w:noProof/>
      </w:rPr>
      <w:drawing>
        <wp:anchor distT="0" distB="0" distL="114300" distR="114300" simplePos="0" relativeHeight="251662336" behindDoc="0" locked="0" layoutInCell="1" allowOverlap="1" wp14:anchorId="39F508B3" wp14:editId="70B87324">
          <wp:simplePos x="0" y="0"/>
          <wp:positionH relativeFrom="margin">
            <wp:align>left</wp:align>
          </wp:positionH>
          <wp:positionV relativeFrom="paragraph">
            <wp:posOffset>6985</wp:posOffset>
          </wp:positionV>
          <wp:extent cx="937260" cy="9372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937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C54E3F5" wp14:editId="07533682">
          <wp:simplePos x="0" y="0"/>
          <wp:positionH relativeFrom="rightMargin">
            <wp:posOffset>-1082040</wp:posOffset>
          </wp:positionH>
          <wp:positionV relativeFrom="paragraph">
            <wp:posOffset>31750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3FE" w:rsidRPr="0090728A">
      <w:rPr>
        <w:rFonts w:cs="B Titr"/>
        <w:noProof/>
        <w:sz w:val="28"/>
        <w:szCs w:val="28"/>
        <w:rtl/>
      </w:rPr>
      <w:drawing>
        <wp:anchor distT="0" distB="0" distL="114300" distR="114300" simplePos="0" relativeHeight="251661312" behindDoc="0" locked="0" layoutInCell="1" allowOverlap="1" wp14:anchorId="29E0B3C9" wp14:editId="3368AC69">
          <wp:simplePos x="0" y="0"/>
          <wp:positionH relativeFrom="margin">
            <wp:posOffset>2534920</wp:posOffset>
          </wp:positionH>
          <wp:positionV relativeFrom="paragraph">
            <wp:posOffset>-335915</wp:posOffset>
          </wp:positionV>
          <wp:extent cx="608330" cy="624840"/>
          <wp:effectExtent l="0" t="0" r="1270" b="3810"/>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8330"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00890D68" w:rsidRPr="0090728A">
      <w:rPr>
        <w:rFonts w:cs="B Titr" w:hint="cs"/>
        <w:noProof/>
        <w:sz w:val="28"/>
        <w:szCs w:val="28"/>
        <w:rtl/>
        <w:lang w:bidi="fa-IR"/>
      </w:rPr>
      <w:t xml:space="preserve"> </w:t>
    </w:r>
  </w:p>
  <w:p w14:paraId="0F7C8099" w14:textId="1C2B1957" w:rsidR="00890D68" w:rsidRPr="0090728A" w:rsidRDefault="00E82785" w:rsidP="00FC73FE">
    <w:pPr>
      <w:pStyle w:val="Header"/>
      <w:bidi/>
      <w:jc w:val="center"/>
      <w:rPr>
        <w:rFonts w:cs="B Titr"/>
        <w:noProof/>
        <w:sz w:val="28"/>
        <w:szCs w:val="28"/>
        <w:rtl/>
        <w:lang w:bidi="fa-IR"/>
      </w:rPr>
    </w:pPr>
    <w:r>
      <w:rPr>
        <w:rFonts w:cs="B Titr" w:hint="cs"/>
        <w:noProof/>
        <w:sz w:val="28"/>
        <w:szCs w:val="28"/>
        <w:rtl/>
        <w:lang w:bidi="fa-IR"/>
      </w:rPr>
      <w:t>هفتمین</w:t>
    </w:r>
    <w:r w:rsidR="00890D68" w:rsidRPr="0090728A">
      <w:rPr>
        <w:rFonts w:cs="B Titr" w:hint="cs"/>
        <w:noProof/>
        <w:sz w:val="28"/>
        <w:szCs w:val="28"/>
        <w:rtl/>
        <w:lang w:bidi="fa-IR"/>
      </w:rPr>
      <w:t xml:space="preserve"> کنفرانس بین‌المللی</w:t>
    </w:r>
    <w:r w:rsidR="00FC73FE" w:rsidRPr="00FC73FE">
      <w:t xml:space="preserve"> </w:t>
    </w:r>
  </w:p>
  <w:p w14:paraId="365E39C9" w14:textId="77777777" w:rsidR="00890D68" w:rsidRPr="00E5325C" w:rsidRDefault="00890D68" w:rsidP="00890D68">
    <w:pPr>
      <w:pStyle w:val="Header"/>
      <w:bidi/>
      <w:jc w:val="center"/>
      <w:rPr>
        <w:rFonts w:cs="B Titr"/>
        <w:noProof/>
        <w:sz w:val="36"/>
        <w:szCs w:val="36"/>
        <w:lang w:bidi="fa-IR"/>
      </w:rPr>
    </w:pPr>
    <w:r w:rsidRPr="00E5325C">
      <w:rPr>
        <w:rFonts w:cs="B Titr" w:hint="cs"/>
        <w:noProof/>
        <w:sz w:val="36"/>
        <w:szCs w:val="36"/>
        <w:rtl/>
        <w:lang w:bidi="fa-IR"/>
      </w:rPr>
      <w:t xml:space="preserve"> «بازی‌های رایانه‌ای؛ فرصت‌ها و چالش‌ها»</w:t>
    </w:r>
    <w:r w:rsidRPr="00E5325C">
      <w:rPr>
        <w:rFonts w:cs="B Titr"/>
        <w:noProof/>
        <w:sz w:val="36"/>
        <w:szCs w:val="36"/>
        <w:rtl/>
      </w:rPr>
      <w:t xml:space="preserve"> </w:t>
    </w:r>
  </w:p>
  <w:p w14:paraId="57DBA371" w14:textId="09F2E3CA" w:rsidR="00890D68" w:rsidRPr="00EC72CA" w:rsidRDefault="00E82785" w:rsidP="00FC73FE">
    <w:pPr>
      <w:pStyle w:val="Header"/>
      <w:pBdr>
        <w:bottom w:val="single" w:sz="6" w:space="1" w:color="auto"/>
      </w:pBdr>
      <w:bidi/>
      <w:jc w:val="center"/>
      <w:rPr>
        <w:rFonts w:cs="B Titr"/>
        <w:sz w:val="28"/>
        <w:szCs w:val="28"/>
        <w:rtl/>
        <w:lang w:bidi="fa-IR"/>
      </w:rPr>
    </w:pPr>
    <w:r>
      <w:rPr>
        <w:rFonts w:cs="B Titr" w:hint="cs"/>
        <w:noProof/>
        <w:rtl/>
        <w:lang w:bidi="fa-IR"/>
      </w:rPr>
      <w:t>5 و 6 اسفند 1400</w:t>
    </w:r>
    <w:r w:rsidR="00890D68" w:rsidRPr="0090728A">
      <w:rPr>
        <w:rFonts w:cs="B Titr" w:hint="cs"/>
        <w:noProof/>
        <w:rtl/>
        <w:lang w:bidi="fa-IR"/>
      </w:rPr>
      <w:t xml:space="preserve"> </w:t>
    </w:r>
    <w:r w:rsidR="00890D68" w:rsidRPr="0090728A">
      <w:rPr>
        <w:rFonts w:hint="cs"/>
        <w:noProof/>
        <w:rtl/>
        <w:lang w:bidi="fa-IR"/>
      </w:rPr>
      <w:t>–</w:t>
    </w:r>
    <w:r w:rsidR="00890D68" w:rsidRPr="0090728A">
      <w:rPr>
        <w:rFonts w:cs="B Titr" w:hint="cs"/>
        <w:noProof/>
        <w:rtl/>
        <w:lang w:bidi="fa-IR"/>
      </w:rPr>
      <w:t xml:space="preserve"> دانشگاه اصفهان</w:t>
    </w:r>
  </w:p>
  <w:p w14:paraId="201A1493" w14:textId="77777777" w:rsidR="00890D68" w:rsidRDefault="00890D68" w:rsidP="00890D68">
    <w:pPr>
      <w:pStyle w:val="Header"/>
      <w:jc w:val="right"/>
      <w:rPr>
        <w:sz w:val="18"/>
        <w:szCs w:val="18"/>
      </w:rPr>
    </w:pPr>
  </w:p>
  <w:p w14:paraId="2393FBCF" w14:textId="77777777"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3" w15:restartNumberingAfterBreak="0">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957C22"/>
    <w:multiLevelType w:val="hybridMultilevel"/>
    <w:tmpl w:val="3FB21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12"/>
  </w:num>
  <w:num w:numId="3">
    <w:abstractNumId w:val="10"/>
  </w:num>
  <w:num w:numId="4">
    <w:abstractNumId w:val="9"/>
  </w:num>
  <w:num w:numId="5">
    <w:abstractNumId w:val="8"/>
  </w:num>
  <w:num w:numId="6">
    <w:abstractNumId w:val="5"/>
  </w:num>
  <w:num w:numId="7">
    <w:abstractNumId w:val="11"/>
  </w:num>
  <w:num w:numId="8">
    <w:abstractNumId w:val="4"/>
  </w:num>
  <w:num w:numId="9">
    <w:abstractNumId w:val="13"/>
  </w:num>
  <w:num w:numId="10">
    <w:abstractNumId w:val="2"/>
  </w:num>
  <w:num w:numId="11">
    <w:abstractNumId w:val="3"/>
  </w:num>
  <w:num w:numId="12">
    <w:abstractNumId w:val="0"/>
  </w:num>
  <w:num w:numId="13">
    <w:abstractNumId w:val="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A3B"/>
    <w:rsid w:val="00002377"/>
    <w:rsid w:val="0000350C"/>
    <w:rsid w:val="000205CE"/>
    <w:rsid w:val="0002177B"/>
    <w:rsid w:val="0002180F"/>
    <w:rsid w:val="00021850"/>
    <w:rsid w:val="00026124"/>
    <w:rsid w:val="000272E6"/>
    <w:rsid w:val="000305CA"/>
    <w:rsid w:val="00032561"/>
    <w:rsid w:val="000347EC"/>
    <w:rsid w:val="00046EA2"/>
    <w:rsid w:val="00057E32"/>
    <w:rsid w:val="00062E77"/>
    <w:rsid w:val="00072166"/>
    <w:rsid w:val="00080508"/>
    <w:rsid w:val="000859CA"/>
    <w:rsid w:val="00087196"/>
    <w:rsid w:val="000905C2"/>
    <w:rsid w:val="0009519D"/>
    <w:rsid w:val="000A2C9F"/>
    <w:rsid w:val="000B6D2D"/>
    <w:rsid w:val="000C2455"/>
    <w:rsid w:val="000D2313"/>
    <w:rsid w:val="000D2493"/>
    <w:rsid w:val="000D594D"/>
    <w:rsid w:val="000D7721"/>
    <w:rsid w:val="000F1283"/>
    <w:rsid w:val="00110678"/>
    <w:rsid w:val="001138C8"/>
    <w:rsid w:val="00122FBF"/>
    <w:rsid w:val="0012580F"/>
    <w:rsid w:val="001267C4"/>
    <w:rsid w:val="00126AC2"/>
    <w:rsid w:val="00130C86"/>
    <w:rsid w:val="00135B46"/>
    <w:rsid w:val="00141DBB"/>
    <w:rsid w:val="00142026"/>
    <w:rsid w:val="001429EC"/>
    <w:rsid w:val="00144398"/>
    <w:rsid w:val="001455C4"/>
    <w:rsid w:val="00162F36"/>
    <w:rsid w:val="00164E34"/>
    <w:rsid w:val="00165A56"/>
    <w:rsid w:val="001769C7"/>
    <w:rsid w:val="00185115"/>
    <w:rsid w:val="0018674B"/>
    <w:rsid w:val="00187567"/>
    <w:rsid w:val="00187BE5"/>
    <w:rsid w:val="001967F3"/>
    <w:rsid w:val="001970A3"/>
    <w:rsid w:val="001A48AC"/>
    <w:rsid w:val="001A744C"/>
    <w:rsid w:val="001B008B"/>
    <w:rsid w:val="001C269F"/>
    <w:rsid w:val="001D0E43"/>
    <w:rsid w:val="001E4656"/>
    <w:rsid w:val="001F7187"/>
    <w:rsid w:val="00214CB3"/>
    <w:rsid w:val="00223A5E"/>
    <w:rsid w:val="002241D3"/>
    <w:rsid w:val="0022504C"/>
    <w:rsid w:val="002351E7"/>
    <w:rsid w:val="002451C3"/>
    <w:rsid w:val="00247ABF"/>
    <w:rsid w:val="00247DAD"/>
    <w:rsid w:val="002632FE"/>
    <w:rsid w:val="00272181"/>
    <w:rsid w:val="00280381"/>
    <w:rsid w:val="00281731"/>
    <w:rsid w:val="002822E9"/>
    <w:rsid w:val="00283E35"/>
    <w:rsid w:val="00286741"/>
    <w:rsid w:val="00287297"/>
    <w:rsid w:val="00295117"/>
    <w:rsid w:val="002A22F7"/>
    <w:rsid w:val="002A2A52"/>
    <w:rsid w:val="002B6189"/>
    <w:rsid w:val="002C0261"/>
    <w:rsid w:val="002E02DC"/>
    <w:rsid w:val="002E4217"/>
    <w:rsid w:val="002F5E4C"/>
    <w:rsid w:val="002F7B2C"/>
    <w:rsid w:val="002F7E64"/>
    <w:rsid w:val="00302859"/>
    <w:rsid w:val="003031B8"/>
    <w:rsid w:val="00327BF9"/>
    <w:rsid w:val="003338F6"/>
    <w:rsid w:val="003530D1"/>
    <w:rsid w:val="00360533"/>
    <w:rsid w:val="003610EC"/>
    <w:rsid w:val="003633B5"/>
    <w:rsid w:val="00387EB2"/>
    <w:rsid w:val="00395956"/>
    <w:rsid w:val="003A06B1"/>
    <w:rsid w:val="003A2D39"/>
    <w:rsid w:val="003A33DD"/>
    <w:rsid w:val="003C13BE"/>
    <w:rsid w:val="003C1DBA"/>
    <w:rsid w:val="003C49D0"/>
    <w:rsid w:val="003D4FE9"/>
    <w:rsid w:val="003E68D4"/>
    <w:rsid w:val="003F334C"/>
    <w:rsid w:val="003F3438"/>
    <w:rsid w:val="003F6A9D"/>
    <w:rsid w:val="003F7AB7"/>
    <w:rsid w:val="00402889"/>
    <w:rsid w:val="004045FA"/>
    <w:rsid w:val="00407B2A"/>
    <w:rsid w:val="00416E84"/>
    <w:rsid w:val="00425213"/>
    <w:rsid w:val="00427BED"/>
    <w:rsid w:val="00427F08"/>
    <w:rsid w:val="00433813"/>
    <w:rsid w:val="004408A3"/>
    <w:rsid w:val="00456841"/>
    <w:rsid w:val="0046185D"/>
    <w:rsid w:val="004902BA"/>
    <w:rsid w:val="004A65C4"/>
    <w:rsid w:val="004B22BB"/>
    <w:rsid w:val="004B3BBE"/>
    <w:rsid w:val="004C3933"/>
    <w:rsid w:val="004C436C"/>
    <w:rsid w:val="004C6D16"/>
    <w:rsid w:val="004D2328"/>
    <w:rsid w:val="004D65C0"/>
    <w:rsid w:val="004E299C"/>
    <w:rsid w:val="004F417C"/>
    <w:rsid w:val="004F46D1"/>
    <w:rsid w:val="005108A6"/>
    <w:rsid w:val="00513F81"/>
    <w:rsid w:val="00514CBB"/>
    <w:rsid w:val="005370DC"/>
    <w:rsid w:val="005434B4"/>
    <w:rsid w:val="005627BC"/>
    <w:rsid w:val="00580060"/>
    <w:rsid w:val="00580158"/>
    <w:rsid w:val="00582598"/>
    <w:rsid w:val="005901A6"/>
    <w:rsid w:val="005917FE"/>
    <w:rsid w:val="00594B3F"/>
    <w:rsid w:val="005A34E7"/>
    <w:rsid w:val="005B6DDB"/>
    <w:rsid w:val="005C2A53"/>
    <w:rsid w:val="005D2BC9"/>
    <w:rsid w:val="005D5908"/>
    <w:rsid w:val="006031F0"/>
    <w:rsid w:val="006060B3"/>
    <w:rsid w:val="00606C93"/>
    <w:rsid w:val="00611FCE"/>
    <w:rsid w:val="00617123"/>
    <w:rsid w:val="00622B96"/>
    <w:rsid w:val="00625E3C"/>
    <w:rsid w:val="00631885"/>
    <w:rsid w:val="006346AC"/>
    <w:rsid w:val="00634BBC"/>
    <w:rsid w:val="00657BDD"/>
    <w:rsid w:val="00662718"/>
    <w:rsid w:val="00672532"/>
    <w:rsid w:val="00672E51"/>
    <w:rsid w:val="00675B53"/>
    <w:rsid w:val="00684D6D"/>
    <w:rsid w:val="006B492D"/>
    <w:rsid w:val="006B4BD3"/>
    <w:rsid w:val="006B66FA"/>
    <w:rsid w:val="006E029D"/>
    <w:rsid w:val="006E430F"/>
    <w:rsid w:val="00712C0B"/>
    <w:rsid w:val="00720F14"/>
    <w:rsid w:val="00730EC7"/>
    <w:rsid w:val="007363B2"/>
    <w:rsid w:val="0074037E"/>
    <w:rsid w:val="007423BA"/>
    <w:rsid w:val="00745C4C"/>
    <w:rsid w:val="0075174B"/>
    <w:rsid w:val="00767118"/>
    <w:rsid w:val="007741CF"/>
    <w:rsid w:val="007804CC"/>
    <w:rsid w:val="00783D98"/>
    <w:rsid w:val="00786F91"/>
    <w:rsid w:val="007A3AAC"/>
    <w:rsid w:val="007A41CC"/>
    <w:rsid w:val="007A7DD1"/>
    <w:rsid w:val="007B3830"/>
    <w:rsid w:val="007E13A7"/>
    <w:rsid w:val="007F292F"/>
    <w:rsid w:val="00804230"/>
    <w:rsid w:val="00804EA7"/>
    <w:rsid w:val="00841244"/>
    <w:rsid w:val="00842D3B"/>
    <w:rsid w:val="00847700"/>
    <w:rsid w:val="00850C76"/>
    <w:rsid w:val="008540DF"/>
    <w:rsid w:val="008554A1"/>
    <w:rsid w:val="00857ABA"/>
    <w:rsid w:val="00857B8B"/>
    <w:rsid w:val="00872E46"/>
    <w:rsid w:val="00875A12"/>
    <w:rsid w:val="00875E62"/>
    <w:rsid w:val="00876C11"/>
    <w:rsid w:val="00890D68"/>
    <w:rsid w:val="008A1942"/>
    <w:rsid w:val="008A4236"/>
    <w:rsid w:val="008C2302"/>
    <w:rsid w:val="008D2123"/>
    <w:rsid w:val="008D320F"/>
    <w:rsid w:val="008D6ECB"/>
    <w:rsid w:val="008E7540"/>
    <w:rsid w:val="00905A32"/>
    <w:rsid w:val="009151D0"/>
    <w:rsid w:val="00917173"/>
    <w:rsid w:val="009210DF"/>
    <w:rsid w:val="00926C66"/>
    <w:rsid w:val="00930A58"/>
    <w:rsid w:val="009330D1"/>
    <w:rsid w:val="00933881"/>
    <w:rsid w:val="0093391A"/>
    <w:rsid w:val="009372F0"/>
    <w:rsid w:val="009463C5"/>
    <w:rsid w:val="00956E9B"/>
    <w:rsid w:val="00960985"/>
    <w:rsid w:val="00961A0E"/>
    <w:rsid w:val="00962335"/>
    <w:rsid w:val="0097656E"/>
    <w:rsid w:val="009927CD"/>
    <w:rsid w:val="009A57FF"/>
    <w:rsid w:val="009C707E"/>
    <w:rsid w:val="009D6C1D"/>
    <w:rsid w:val="009D7F41"/>
    <w:rsid w:val="009E768A"/>
    <w:rsid w:val="009F5735"/>
    <w:rsid w:val="00A06481"/>
    <w:rsid w:val="00A1251C"/>
    <w:rsid w:val="00A12BCC"/>
    <w:rsid w:val="00A2169D"/>
    <w:rsid w:val="00A25A12"/>
    <w:rsid w:val="00A41D00"/>
    <w:rsid w:val="00A5540E"/>
    <w:rsid w:val="00A720E4"/>
    <w:rsid w:val="00A85B00"/>
    <w:rsid w:val="00A90DF3"/>
    <w:rsid w:val="00A94C09"/>
    <w:rsid w:val="00AA1264"/>
    <w:rsid w:val="00AB2AE9"/>
    <w:rsid w:val="00AC145D"/>
    <w:rsid w:val="00AD334D"/>
    <w:rsid w:val="00AE77FB"/>
    <w:rsid w:val="00AF10A5"/>
    <w:rsid w:val="00AF160F"/>
    <w:rsid w:val="00AF6B72"/>
    <w:rsid w:val="00AF7868"/>
    <w:rsid w:val="00AF7A13"/>
    <w:rsid w:val="00AF7B74"/>
    <w:rsid w:val="00B0067A"/>
    <w:rsid w:val="00B04CE8"/>
    <w:rsid w:val="00B065DF"/>
    <w:rsid w:val="00B21324"/>
    <w:rsid w:val="00B37DF7"/>
    <w:rsid w:val="00B43626"/>
    <w:rsid w:val="00B517C2"/>
    <w:rsid w:val="00B518EA"/>
    <w:rsid w:val="00B86CFA"/>
    <w:rsid w:val="00B875A2"/>
    <w:rsid w:val="00BA0658"/>
    <w:rsid w:val="00BB3C58"/>
    <w:rsid w:val="00BC177B"/>
    <w:rsid w:val="00BE2475"/>
    <w:rsid w:val="00BE7253"/>
    <w:rsid w:val="00C02204"/>
    <w:rsid w:val="00C20DB0"/>
    <w:rsid w:val="00C2338C"/>
    <w:rsid w:val="00C26B66"/>
    <w:rsid w:val="00C27DAD"/>
    <w:rsid w:val="00C30E4D"/>
    <w:rsid w:val="00C36407"/>
    <w:rsid w:val="00C42581"/>
    <w:rsid w:val="00C610E7"/>
    <w:rsid w:val="00C72AB2"/>
    <w:rsid w:val="00C93113"/>
    <w:rsid w:val="00CA0F69"/>
    <w:rsid w:val="00CA143F"/>
    <w:rsid w:val="00CA2A45"/>
    <w:rsid w:val="00CA4E8A"/>
    <w:rsid w:val="00CB5B33"/>
    <w:rsid w:val="00CC5248"/>
    <w:rsid w:val="00CC6D61"/>
    <w:rsid w:val="00CD09E6"/>
    <w:rsid w:val="00CE1DD2"/>
    <w:rsid w:val="00CF3BC9"/>
    <w:rsid w:val="00D104F5"/>
    <w:rsid w:val="00D1475F"/>
    <w:rsid w:val="00D23D70"/>
    <w:rsid w:val="00D27D9A"/>
    <w:rsid w:val="00D56D0A"/>
    <w:rsid w:val="00D61A3B"/>
    <w:rsid w:val="00D6368D"/>
    <w:rsid w:val="00D86AEC"/>
    <w:rsid w:val="00DA3D28"/>
    <w:rsid w:val="00DB246E"/>
    <w:rsid w:val="00DB434E"/>
    <w:rsid w:val="00DB46EF"/>
    <w:rsid w:val="00DC1CC0"/>
    <w:rsid w:val="00DC303D"/>
    <w:rsid w:val="00DC40F7"/>
    <w:rsid w:val="00DD1BFA"/>
    <w:rsid w:val="00DD1C97"/>
    <w:rsid w:val="00DD24F9"/>
    <w:rsid w:val="00DE027C"/>
    <w:rsid w:val="00DE3865"/>
    <w:rsid w:val="00DE389C"/>
    <w:rsid w:val="00DE5D66"/>
    <w:rsid w:val="00DF14DC"/>
    <w:rsid w:val="00DF5530"/>
    <w:rsid w:val="00E00C5C"/>
    <w:rsid w:val="00E0253E"/>
    <w:rsid w:val="00E24237"/>
    <w:rsid w:val="00E42839"/>
    <w:rsid w:val="00E51179"/>
    <w:rsid w:val="00E5325C"/>
    <w:rsid w:val="00E551A7"/>
    <w:rsid w:val="00E6417E"/>
    <w:rsid w:val="00E65DC0"/>
    <w:rsid w:val="00E82785"/>
    <w:rsid w:val="00E86544"/>
    <w:rsid w:val="00E90E96"/>
    <w:rsid w:val="00EA65A9"/>
    <w:rsid w:val="00EB62DE"/>
    <w:rsid w:val="00EC29A4"/>
    <w:rsid w:val="00EC72CA"/>
    <w:rsid w:val="00EE162A"/>
    <w:rsid w:val="00EE3EE7"/>
    <w:rsid w:val="00EF10CA"/>
    <w:rsid w:val="00F000A7"/>
    <w:rsid w:val="00F0250F"/>
    <w:rsid w:val="00F054A9"/>
    <w:rsid w:val="00F1555B"/>
    <w:rsid w:val="00F33160"/>
    <w:rsid w:val="00F333DC"/>
    <w:rsid w:val="00F36A32"/>
    <w:rsid w:val="00F44FAB"/>
    <w:rsid w:val="00F45451"/>
    <w:rsid w:val="00F473DE"/>
    <w:rsid w:val="00F52ED1"/>
    <w:rsid w:val="00F60856"/>
    <w:rsid w:val="00F61A27"/>
    <w:rsid w:val="00F63888"/>
    <w:rsid w:val="00F661E6"/>
    <w:rsid w:val="00F8270D"/>
    <w:rsid w:val="00F95A07"/>
    <w:rsid w:val="00FA2081"/>
    <w:rsid w:val="00FA2FE8"/>
    <w:rsid w:val="00FA364A"/>
    <w:rsid w:val="00FB1142"/>
    <w:rsid w:val="00FB7BEC"/>
    <w:rsid w:val="00FC73FE"/>
    <w:rsid w:val="00FD457A"/>
    <w:rsid w:val="00FD52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4:docId w14:val="602C226B"/>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b/>
      <w:bCs/>
      <w:sz w:val="22"/>
    </w:rPr>
  </w:style>
  <w:style w:type="paragraph" w:styleId="Heading3">
    <w:name w:val="heading 3"/>
    <w:basedOn w:val="Normal"/>
    <w:next w:val="Normal"/>
    <w:qFormat/>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 w:val="18"/>
      <w:szCs w:val="18"/>
      <w:lang w:val="x-none" w:eastAsia="x-none"/>
    </w:rPr>
  </w:style>
  <w:style w:type="paragraph" w:styleId="FootnoteText">
    <w:name w:val="footnote text"/>
    <w:basedOn w:val="Normal"/>
    <w:link w:val="FootnoteTextChar"/>
    <w:uiPriority w:val="99"/>
    <w:rPr>
      <w:sz w:val="20"/>
      <w:szCs w:val="20"/>
      <w:lang w:val="x-none" w:eastAsia="x-none"/>
    </w:rPr>
  </w:style>
  <w:style w:type="character" w:styleId="FootnoteReference">
    <w:name w:val="footnote reference"/>
    <w:uiPriority w:val="99"/>
    <w:rPr>
      <w:vertAlign w:val="superscript"/>
    </w:rPr>
  </w:style>
  <w:style w:type="paragraph" w:styleId="Date">
    <w:name w:val="Date"/>
    <w:basedOn w:val="Normal"/>
    <w:next w:val="Normal"/>
  </w:style>
  <w:style w:type="paragraph" w:styleId="Title">
    <w:name w:val="Title"/>
    <w:basedOn w:val="Normal"/>
    <w:qFormat/>
    <w:pPr>
      <w:jc w:val="center"/>
    </w:pPr>
    <w:rPr>
      <w:b/>
      <w:bCs/>
      <w:sz w:val="32"/>
      <w:szCs w:val="32"/>
    </w:rPr>
  </w:style>
  <w:style w:type="paragraph" w:styleId="BodyText2">
    <w:name w:val="Body Text 2"/>
    <w:basedOn w:val="Normal"/>
    <w:pPr>
      <w:jc w:val="center"/>
    </w:pPr>
    <w:rPr>
      <w:b/>
      <w:bCs/>
      <w:sz w:val="32"/>
    </w:rPr>
  </w:style>
  <w:style w:type="paragraph" w:styleId="BodyText3">
    <w:name w:val="Body Text 3"/>
    <w:basedOn w:val="Normal"/>
    <w:link w:val="BodyText3Char"/>
    <w:pPr>
      <w:jc w:val="both"/>
    </w:pPr>
    <w:rPr>
      <w:lang w:val="x-none" w:eastAsia="x-none"/>
    </w:rPr>
  </w:style>
  <w:style w:type="paragraph" w:styleId="BodyTextIndent">
    <w:name w:val="Body Text Indent"/>
    <w:basedOn w:val="Normal"/>
    <w:pPr>
      <w:ind w:firstLine="284"/>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uiPriority w:val="99"/>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uiPriority w:val="99"/>
    <w:rsid w:val="005901A6"/>
    <w:rPr>
      <w:lang w:bidi="ar-SA"/>
    </w:rPr>
  </w:style>
  <w:style w:type="paragraph" w:styleId="ListParagraph">
    <w:name w:val="List Paragraph"/>
    <w:aliases w:val="heding3"/>
    <w:basedOn w:val="Normal"/>
    <w:uiPriority w:val="34"/>
    <w:qFormat/>
    <w:rsid w:val="005901A6"/>
    <w:pPr>
      <w:bidi/>
      <w:ind w:left="720"/>
      <w:contextualSpacing/>
    </w:pPr>
    <w:rPr>
      <w:rFonts w:eastAsia="SimSun"/>
      <w:szCs w:val="28"/>
      <w:lang w:eastAsia="zh-CN" w:bidi="fa-IR"/>
    </w:rPr>
  </w:style>
  <w:style w:type="character" w:customStyle="1" w:styleId="BodyTextChar">
    <w:name w:val="Body Text Char"/>
    <w:link w:val="BodyText"/>
    <w:rsid w:val="00CB5B33"/>
    <w:rPr>
      <w:sz w:val="18"/>
      <w:szCs w:val="18"/>
      <w:lang w:bidi="ar-SA"/>
    </w:rPr>
  </w:style>
  <w:style w:type="character" w:customStyle="1" w:styleId="BodyText3Char">
    <w:name w:val="Body Text 3 Char"/>
    <w:link w:val="BodyText3"/>
    <w:rsid w:val="00CB5B33"/>
    <w:rPr>
      <w:sz w:val="24"/>
      <w:szCs w:val="24"/>
      <w:lang w:bidi="ar-SA"/>
    </w:rPr>
  </w:style>
  <w:style w:type="character" w:customStyle="1" w:styleId="HeaderChar">
    <w:name w:val="Header Char"/>
    <w:basedOn w:val="DefaultParagraphFont"/>
    <w:link w:val="Header"/>
    <w:rsid w:val="00890D68"/>
    <w:rPr>
      <w:sz w:val="24"/>
      <w:szCs w:val="24"/>
    </w:rPr>
  </w:style>
  <w:style w:type="character" w:customStyle="1" w:styleId="apple-converted-space">
    <w:name w:val="apple-converted-space"/>
    <w:basedOn w:val="DefaultParagraphFont"/>
    <w:rsid w:val="001769C7"/>
  </w:style>
  <w:style w:type="character" w:customStyle="1" w:styleId="a-size-large">
    <w:name w:val="a-size-large"/>
    <w:basedOn w:val="DefaultParagraphFont"/>
    <w:rsid w:val="00176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ri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tif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D30C2-5A50-4552-AF3F-76E6BFF22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5584</Words>
  <Characters>31834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37344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Hossein Dehganzadeh</cp:lastModifiedBy>
  <cp:revision>19</cp:revision>
  <cp:lastPrinted>2012-01-08T08:20:00Z</cp:lastPrinted>
  <dcterms:created xsi:type="dcterms:W3CDTF">2021-12-09T19:03:00Z</dcterms:created>
  <dcterms:modified xsi:type="dcterms:W3CDTF">2021-12-14T15:02:00Z</dcterms:modified>
</cp:coreProperties>
</file>